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6D39A9">
      <w:pPr>
        <w:pStyle w:val="24"/>
        <w:jc w:val="center"/>
        <w:rPr>
          <w:rFonts w:ascii="Times New Roman" w:hAnsi="Times New Roman"/>
          <w:b/>
          <w:bCs/>
          <w:color w:val="000000"/>
          <w:sz w:val="44"/>
          <w:szCs w:val="44"/>
        </w:rPr>
      </w:pPr>
      <w:bookmarkStart w:id="0" w:name="_Toc10678"/>
      <w:bookmarkStart w:id="1" w:name="_Toc11079"/>
      <w:bookmarkStart w:id="2" w:name="_Toc13145"/>
      <w:bookmarkStart w:id="3" w:name="_Toc8161"/>
      <w:bookmarkStart w:id="4" w:name="_Toc20930"/>
      <w:r>
        <w:rPr>
          <w:rFonts w:ascii="Times New Roman" w:hAnsi="Times New Roman"/>
          <w:b/>
          <w:bCs/>
          <w:color w:val="000000"/>
          <w:sz w:val="36"/>
          <w:szCs w:val="44"/>
        </w:rPr>
        <w:t>目录</w:t>
      </w:r>
      <w:bookmarkEnd w:id="0"/>
      <w:bookmarkEnd w:id="1"/>
      <w:bookmarkEnd w:id="2"/>
      <w:bookmarkEnd w:id="3"/>
    </w:p>
    <w:p w14:paraId="0AEE9A53">
      <w:pPr>
        <w:pStyle w:val="22"/>
        <w:tabs>
          <w:tab w:val="right" w:leader="dot" w:pos="9355"/>
        </w:tabs>
        <w:spacing w:line="360" w:lineRule="auto"/>
        <w:rPr>
          <w:b/>
          <w:sz w:val="30"/>
          <w:szCs w:val="30"/>
        </w:rPr>
      </w:pPr>
      <w:r>
        <w:rPr>
          <w:b/>
          <w:color w:val="000000"/>
          <w:sz w:val="30"/>
          <w:szCs w:val="30"/>
        </w:rPr>
        <w:fldChar w:fldCharType="begin"/>
      </w:r>
      <w:r>
        <w:rPr>
          <w:b/>
          <w:color w:val="000000"/>
          <w:sz w:val="30"/>
          <w:szCs w:val="30"/>
        </w:rPr>
        <w:instrText xml:space="preserve">TOC \o "1-1" \h \u </w:instrText>
      </w:r>
      <w:r>
        <w:rPr>
          <w:b/>
          <w:color w:val="000000"/>
          <w:sz w:val="30"/>
          <w:szCs w:val="30"/>
        </w:rPr>
        <w:fldChar w:fldCharType="separate"/>
      </w:r>
      <w:r>
        <w:fldChar w:fldCharType="begin"/>
      </w:r>
      <w:r>
        <w:instrText xml:space="preserve"> HYPERLINK \l "_Toc25334" </w:instrText>
      </w:r>
      <w:r>
        <w:fldChar w:fldCharType="separate"/>
      </w:r>
      <w:r>
        <w:rPr>
          <w:b/>
          <w:sz w:val="30"/>
          <w:szCs w:val="30"/>
        </w:rPr>
        <w:t>一、建设项目基本情况</w:t>
      </w:r>
      <w:r>
        <w:rPr>
          <w:b/>
          <w:sz w:val="30"/>
          <w:szCs w:val="30"/>
        </w:rPr>
        <w:tab/>
      </w:r>
      <w:r>
        <w:rPr>
          <w:b/>
          <w:sz w:val="30"/>
          <w:szCs w:val="30"/>
        </w:rPr>
        <w:fldChar w:fldCharType="begin"/>
      </w:r>
      <w:r>
        <w:rPr>
          <w:b/>
          <w:sz w:val="30"/>
          <w:szCs w:val="30"/>
        </w:rPr>
        <w:instrText xml:space="preserve"> PAGEREF _Toc25334 \h </w:instrText>
      </w:r>
      <w:r>
        <w:rPr>
          <w:b/>
          <w:sz w:val="30"/>
          <w:szCs w:val="30"/>
        </w:rPr>
        <w:fldChar w:fldCharType="separate"/>
      </w:r>
      <w:r>
        <w:rPr>
          <w:b/>
          <w:sz w:val="30"/>
          <w:szCs w:val="30"/>
        </w:rPr>
        <w:t>- 1 -</w:t>
      </w:r>
      <w:r>
        <w:rPr>
          <w:b/>
          <w:sz w:val="30"/>
          <w:szCs w:val="30"/>
        </w:rPr>
        <w:fldChar w:fldCharType="end"/>
      </w:r>
      <w:r>
        <w:rPr>
          <w:b/>
          <w:sz w:val="30"/>
          <w:szCs w:val="30"/>
        </w:rPr>
        <w:fldChar w:fldCharType="end"/>
      </w:r>
    </w:p>
    <w:p w14:paraId="35A5A191">
      <w:pPr>
        <w:pStyle w:val="22"/>
        <w:tabs>
          <w:tab w:val="right" w:leader="dot" w:pos="9355"/>
        </w:tabs>
        <w:spacing w:line="360" w:lineRule="auto"/>
        <w:rPr>
          <w:b/>
          <w:sz w:val="30"/>
          <w:szCs w:val="30"/>
        </w:rPr>
      </w:pPr>
      <w:r>
        <w:fldChar w:fldCharType="begin"/>
      </w:r>
      <w:r>
        <w:instrText xml:space="preserve"> HYPERLINK \l "_Toc16992" </w:instrText>
      </w:r>
      <w:r>
        <w:fldChar w:fldCharType="separate"/>
      </w:r>
      <w:r>
        <w:rPr>
          <w:b/>
          <w:sz w:val="30"/>
          <w:szCs w:val="30"/>
        </w:rPr>
        <w:t>二、建设项目工程分析</w:t>
      </w:r>
      <w:r>
        <w:rPr>
          <w:b/>
          <w:sz w:val="30"/>
          <w:szCs w:val="30"/>
        </w:rPr>
        <w:tab/>
      </w:r>
      <w:r>
        <w:rPr>
          <w:b/>
          <w:sz w:val="30"/>
          <w:szCs w:val="30"/>
        </w:rPr>
        <w:fldChar w:fldCharType="begin"/>
      </w:r>
      <w:r>
        <w:rPr>
          <w:b/>
          <w:sz w:val="30"/>
          <w:szCs w:val="30"/>
        </w:rPr>
        <w:instrText xml:space="preserve"> PAGEREF _Toc16992 \h </w:instrText>
      </w:r>
      <w:r>
        <w:rPr>
          <w:b/>
          <w:sz w:val="30"/>
          <w:szCs w:val="30"/>
        </w:rPr>
        <w:fldChar w:fldCharType="separate"/>
      </w:r>
      <w:r>
        <w:rPr>
          <w:b/>
          <w:sz w:val="30"/>
          <w:szCs w:val="30"/>
        </w:rPr>
        <w:t>- 12 -</w:t>
      </w:r>
      <w:r>
        <w:rPr>
          <w:b/>
          <w:sz w:val="30"/>
          <w:szCs w:val="30"/>
        </w:rPr>
        <w:fldChar w:fldCharType="end"/>
      </w:r>
      <w:r>
        <w:rPr>
          <w:b/>
          <w:sz w:val="30"/>
          <w:szCs w:val="30"/>
        </w:rPr>
        <w:fldChar w:fldCharType="end"/>
      </w:r>
    </w:p>
    <w:p w14:paraId="4D8FC7CE">
      <w:pPr>
        <w:pStyle w:val="22"/>
        <w:tabs>
          <w:tab w:val="right" w:leader="dot" w:pos="9355"/>
        </w:tabs>
        <w:spacing w:line="360" w:lineRule="auto"/>
        <w:rPr>
          <w:b/>
          <w:sz w:val="30"/>
          <w:szCs w:val="30"/>
        </w:rPr>
      </w:pPr>
      <w:r>
        <w:fldChar w:fldCharType="begin"/>
      </w:r>
      <w:r>
        <w:instrText xml:space="preserve"> HYPERLINK \l "_Toc14278" </w:instrText>
      </w:r>
      <w:r>
        <w:fldChar w:fldCharType="separate"/>
      </w:r>
      <w:r>
        <w:rPr>
          <w:b/>
          <w:sz w:val="30"/>
          <w:szCs w:val="30"/>
        </w:rPr>
        <w:t>三、区域环境质量现状、环境保护目标及评价标准</w:t>
      </w:r>
      <w:r>
        <w:rPr>
          <w:b/>
          <w:sz w:val="30"/>
          <w:szCs w:val="30"/>
        </w:rPr>
        <w:tab/>
      </w:r>
      <w:r>
        <w:rPr>
          <w:b/>
          <w:sz w:val="30"/>
          <w:szCs w:val="30"/>
        </w:rPr>
        <w:fldChar w:fldCharType="begin"/>
      </w:r>
      <w:r>
        <w:rPr>
          <w:b/>
          <w:sz w:val="30"/>
          <w:szCs w:val="30"/>
        </w:rPr>
        <w:instrText xml:space="preserve"> PAGEREF _Toc14278 \h </w:instrText>
      </w:r>
      <w:r>
        <w:rPr>
          <w:b/>
          <w:sz w:val="30"/>
          <w:szCs w:val="30"/>
        </w:rPr>
        <w:fldChar w:fldCharType="separate"/>
      </w:r>
      <w:r>
        <w:rPr>
          <w:b/>
          <w:sz w:val="30"/>
          <w:szCs w:val="30"/>
        </w:rPr>
        <w:t>- 39 -</w:t>
      </w:r>
      <w:r>
        <w:rPr>
          <w:b/>
          <w:sz w:val="30"/>
          <w:szCs w:val="30"/>
        </w:rPr>
        <w:fldChar w:fldCharType="end"/>
      </w:r>
      <w:r>
        <w:rPr>
          <w:b/>
          <w:sz w:val="30"/>
          <w:szCs w:val="30"/>
        </w:rPr>
        <w:fldChar w:fldCharType="end"/>
      </w:r>
    </w:p>
    <w:p w14:paraId="6115B9CA">
      <w:pPr>
        <w:pStyle w:val="22"/>
        <w:tabs>
          <w:tab w:val="right" w:leader="dot" w:pos="9355"/>
        </w:tabs>
        <w:spacing w:line="360" w:lineRule="auto"/>
        <w:rPr>
          <w:b/>
          <w:sz w:val="30"/>
          <w:szCs w:val="30"/>
        </w:rPr>
      </w:pPr>
      <w:r>
        <w:fldChar w:fldCharType="begin"/>
      </w:r>
      <w:r>
        <w:instrText xml:space="preserve"> HYPERLINK \l "_Toc85" </w:instrText>
      </w:r>
      <w:r>
        <w:fldChar w:fldCharType="separate"/>
      </w:r>
      <w:r>
        <w:rPr>
          <w:b/>
          <w:snapToGrid w:val="0"/>
          <w:sz w:val="30"/>
          <w:szCs w:val="30"/>
        </w:rPr>
        <w:t>四、主要环境影响和保护措施</w:t>
      </w:r>
      <w:r>
        <w:rPr>
          <w:b/>
          <w:sz w:val="30"/>
          <w:szCs w:val="30"/>
        </w:rPr>
        <w:tab/>
      </w:r>
      <w:r>
        <w:rPr>
          <w:b/>
          <w:sz w:val="30"/>
          <w:szCs w:val="30"/>
        </w:rPr>
        <w:fldChar w:fldCharType="begin"/>
      </w:r>
      <w:r>
        <w:rPr>
          <w:b/>
          <w:sz w:val="30"/>
          <w:szCs w:val="30"/>
        </w:rPr>
        <w:instrText xml:space="preserve"> PAGEREF _Toc85 \h </w:instrText>
      </w:r>
      <w:r>
        <w:rPr>
          <w:b/>
          <w:sz w:val="30"/>
          <w:szCs w:val="30"/>
        </w:rPr>
        <w:fldChar w:fldCharType="separate"/>
      </w:r>
      <w:r>
        <w:rPr>
          <w:b/>
          <w:sz w:val="30"/>
          <w:szCs w:val="30"/>
        </w:rPr>
        <w:t>- 44 -</w:t>
      </w:r>
      <w:r>
        <w:rPr>
          <w:b/>
          <w:sz w:val="30"/>
          <w:szCs w:val="30"/>
        </w:rPr>
        <w:fldChar w:fldCharType="end"/>
      </w:r>
      <w:r>
        <w:rPr>
          <w:b/>
          <w:sz w:val="30"/>
          <w:szCs w:val="30"/>
        </w:rPr>
        <w:fldChar w:fldCharType="end"/>
      </w:r>
    </w:p>
    <w:p w14:paraId="03A9B5EE">
      <w:pPr>
        <w:pStyle w:val="22"/>
        <w:tabs>
          <w:tab w:val="right" w:leader="dot" w:pos="9355"/>
        </w:tabs>
        <w:spacing w:line="360" w:lineRule="auto"/>
        <w:rPr>
          <w:b/>
          <w:sz w:val="30"/>
          <w:szCs w:val="30"/>
        </w:rPr>
      </w:pPr>
      <w:r>
        <w:fldChar w:fldCharType="begin"/>
      </w:r>
      <w:r>
        <w:instrText xml:space="preserve"> HYPERLINK \l "_Toc16727" </w:instrText>
      </w:r>
      <w:r>
        <w:fldChar w:fldCharType="separate"/>
      </w:r>
      <w:r>
        <w:rPr>
          <w:b/>
          <w:sz w:val="30"/>
          <w:szCs w:val="30"/>
        </w:rPr>
        <w:t>五、环境保护措施监督检查清单</w:t>
      </w:r>
      <w:r>
        <w:rPr>
          <w:b/>
          <w:sz w:val="30"/>
          <w:szCs w:val="30"/>
        </w:rPr>
        <w:tab/>
      </w:r>
      <w:r>
        <w:rPr>
          <w:b/>
          <w:sz w:val="30"/>
          <w:szCs w:val="30"/>
        </w:rPr>
        <w:fldChar w:fldCharType="begin"/>
      </w:r>
      <w:r>
        <w:rPr>
          <w:b/>
          <w:sz w:val="30"/>
          <w:szCs w:val="30"/>
        </w:rPr>
        <w:instrText xml:space="preserve"> PAGEREF _Toc16727 \h </w:instrText>
      </w:r>
      <w:r>
        <w:rPr>
          <w:b/>
          <w:sz w:val="30"/>
          <w:szCs w:val="30"/>
        </w:rPr>
        <w:fldChar w:fldCharType="separate"/>
      </w:r>
      <w:r>
        <w:rPr>
          <w:b/>
          <w:sz w:val="30"/>
          <w:szCs w:val="30"/>
        </w:rPr>
        <w:t>- 71 -</w:t>
      </w:r>
      <w:r>
        <w:rPr>
          <w:b/>
          <w:sz w:val="30"/>
          <w:szCs w:val="30"/>
        </w:rPr>
        <w:fldChar w:fldCharType="end"/>
      </w:r>
      <w:r>
        <w:rPr>
          <w:b/>
          <w:sz w:val="30"/>
          <w:szCs w:val="30"/>
        </w:rPr>
        <w:fldChar w:fldCharType="end"/>
      </w:r>
    </w:p>
    <w:p w14:paraId="78102D51">
      <w:pPr>
        <w:pStyle w:val="22"/>
        <w:tabs>
          <w:tab w:val="right" w:leader="dot" w:pos="9355"/>
        </w:tabs>
        <w:spacing w:line="360" w:lineRule="auto"/>
        <w:rPr>
          <w:b/>
          <w:sz w:val="30"/>
          <w:szCs w:val="30"/>
        </w:rPr>
      </w:pPr>
      <w:r>
        <w:fldChar w:fldCharType="begin"/>
      </w:r>
      <w:r>
        <w:instrText xml:space="preserve"> HYPERLINK \l "_Toc12149" </w:instrText>
      </w:r>
      <w:r>
        <w:fldChar w:fldCharType="separate"/>
      </w:r>
      <w:r>
        <w:rPr>
          <w:b/>
          <w:snapToGrid w:val="0"/>
          <w:sz w:val="30"/>
          <w:szCs w:val="30"/>
        </w:rPr>
        <w:t>六、</w:t>
      </w:r>
      <w:r>
        <w:rPr>
          <w:b/>
          <w:sz w:val="30"/>
          <w:szCs w:val="30"/>
        </w:rPr>
        <w:t>结论</w:t>
      </w:r>
      <w:r>
        <w:rPr>
          <w:b/>
          <w:sz w:val="30"/>
          <w:szCs w:val="30"/>
        </w:rPr>
        <w:tab/>
      </w:r>
      <w:r>
        <w:rPr>
          <w:b/>
          <w:sz w:val="30"/>
          <w:szCs w:val="30"/>
        </w:rPr>
        <w:fldChar w:fldCharType="begin"/>
      </w:r>
      <w:r>
        <w:rPr>
          <w:b/>
          <w:sz w:val="30"/>
          <w:szCs w:val="30"/>
        </w:rPr>
        <w:instrText xml:space="preserve"> PAGEREF _Toc12149 \h </w:instrText>
      </w:r>
      <w:r>
        <w:rPr>
          <w:b/>
          <w:sz w:val="30"/>
          <w:szCs w:val="30"/>
        </w:rPr>
        <w:fldChar w:fldCharType="separate"/>
      </w:r>
      <w:r>
        <w:rPr>
          <w:b/>
          <w:sz w:val="30"/>
          <w:szCs w:val="30"/>
        </w:rPr>
        <w:t>- 73 -</w:t>
      </w:r>
      <w:r>
        <w:rPr>
          <w:b/>
          <w:sz w:val="30"/>
          <w:szCs w:val="30"/>
        </w:rPr>
        <w:fldChar w:fldCharType="end"/>
      </w:r>
      <w:r>
        <w:rPr>
          <w:b/>
          <w:sz w:val="30"/>
          <w:szCs w:val="30"/>
        </w:rPr>
        <w:fldChar w:fldCharType="end"/>
      </w:r>
    </w:p>
    <w:p w14:paraId="61F46DD5">
      <w:pPr>
        <w:adjustRightInd w:val="0"/>
        <w:snapToGrid w:val="0"/>
        <w:spacing w:line="360" w:lineRule="auto"/>
        <w:rPr>
          <w:b/>
          <w:bCs/>
          <w:color w:val="000000"/>
          <w:sz w:val="24"/>
        </w:rPr>
      </w:pPr>
      <w:r>
        <w:rPr>
          <w:b/>
          <w:color w:val="000000"/>
          <w:sz w:val="30"/>
          <w:szCs w:val="30"/>
        </w:rPr>
        <w:fldChar w:fldCharType="end"/>
      </w:r>
      <w:r>
        <w:rPr>
          <w:b/>
          <w:bCs/>
          <w:color w:val="000000"/>
          <w:sz w:val="24"/>
        </w:rPr>
        <w:t>附图：</w:t>
      </w:r>
    </w:p>
    <w:p w14:paraId="16C3FC4D">
      <w:pPr>
        <w:pStyle w:val="36"/>
        <w:ind w:firstLine="480"/>
        <w:rPr>
          <w:rFonts w:hint="default"/>
        </w:rPr>
      </w:pPr>
      <w:r>
        <w:t>附图一：项目地理位置图</w:t>
      </w:r>
    </w:p>
    <w:p w14:paraId="13AE0DE6">
      <w:pPr>
        <w:pStyle w:val="36"/>
        <w:ind w:firstLine="480"/>
        <w:rPr>
          <w:rFonts w:hint="default"/>
        </w:rPr>
      </w:pPr>
      <w:r>
        <w:t>附图二：项目平面布置图</w:t>
      </w:r>
    </w:p>
    <w:p w14:paraId="7F843627">
      <w:pPr>
        <w:pStyle w:val="36"/>
        <w:ind w:firstLine="480"/>
        <w:rPr>
          <w:rFonts w:hint="default" w:eastAsia="宋体"/>
          <w:lang w:val="en-US" w:eastAsia="zh-CN"/>
        </w:rPr>
      </w:pPr>
      <w:r>
        <w:t>附图三：</w:t>
      </w:r>
      <w:r>
        <w:rPr>
          <w:rFonts w:hint="eastAsia"/>
          <w:lang w:val="en-US" w:eastAsia="zh-CN"/>
        </w:rPr>
        <w:t>环境保护目标分布图</w:t>
      </w:r>
    </w:p>
    <w:p w14:paraId="2F8915FE">
      <w:pPr>
        <w:pStyle w:val="36"/>
        <w:ind w:firstLine="480"/>
        <w:rPr>
          <w:rFonts w:hint="default" w:eastAsia="宋体"/>
          <w:lang w:val="en-US" w:eastAsia="zh-CN"/>
        </w:rPr>
      </w:pPr>
      <w:r>
        <w:t>附图四：</w:t>
      </w:r>
      <w:r>
        <w:rPr>
          <w:rFonts w:hint="eastAsia"/>
          <w:lang w:val="en-US" w:eastAsia="zh-CN"/>
        </w:rPr>
        <w:t>地表水监测点位图</w:t>
      </w:r>
    </w:p>
    <w:p w14:paraId="2BEEA4FB">
      <w:pPr>
        <w:pStyle w:val="36"/>
        <w:ind w:firstLine="480"/>
        <w:rPr>
          <w:rFonts w:hint="default"/>
        </w:rPr>
      </w:pPr>
      <w:r>
        <w:t>附图五：卫生防护距离包络线图</w:t>
      </w:r>
    </w:p>
    <w:p w14:paraId="1786CBB1">
      <w:pPr>
        <w:pStyle w:val="36"/>
        <w:ind w:firstLine="480"/>
        <w:rPr>
          <w:rFonts w:hint="default"/>
        </w:rPr>
      </w:pPr>
      <w:r>
        <w:t>附图六：项目与生态保护红线图位置关系图</w:t>
      </w:r>
    </w:p>
    <w:p w14:paraId="566E0D55">
      <w:pPr>
        <w:pStyle w:val="36"/>
        <w:ind w:firstLine="480"/>
        <w:rPr>
          <w:rFonts w:hint="default"/>
        </w:rPr>
      </w:pPr>
      <w:r>
        <w:t>附图七：</w:t>
      </w:r>
      <w:r>
        <w:rPr>
          <w:rFonts w:hint="eastAsia"/>
          <w:lang w:val="en-US" w:eastAsia="zh-CN"/>
        </w:rPr>
        <w:t>地表水环境功能区划图</w:t>
      </w:r>
    </w:p>
    <w:p w14:paraId="68B4B515">
      <w:pPr>
        <w:adjustRightInd w:val="0"/>
        <w:snapToGrid w:val="0"/>
        <w:spacing w:line="336" w:lineRule="auto"/>
        <w:rPr>
          <w:b/>
          <w:bCs/>
          <w:color w:val="000000"/>
          <w:sz w:val="24"/>
        </w:rPr>
      </w:pPr>
      <w:r>
        <w:rPr>
          <w:b/>
          <w:bCs/>
          <w:color w:val="000000"/>
          <w:sz w:val="24"/>
        </w:rPr>
        <w:t>附件：</w:t>
      </w:r>
    </w:p>
    <w:p w14:paraId="45C54A7B">
      <w:pPr>
        <w:adjustRightInd w:val="0"/>
        <w:snapToGrid w:val="0"/>
        <w:spacing w:line="336" w:lineRule="auto"/>
        <w:ind w:firstLine="480" w:firstLineChars="200"/>
        <w:rPr>
          <w:color w:val="000000"/>
          <w:sz w:val="24"/>
        </w:rPr>
      </w:pPr>
      <w:r>
        <w:rPr>
          <w:color w:val="000000"/>
          <w:sz w:val="24"/>
        </w:rPr>
        <w:t>附件1：委托书</w:t>
      </w:r>
    </w:p>
    <w:p w14:paraId="5D812E28">
      <w:pPr>
        <w:adjustRightInd w:val="0"/>
        <w:snapToGrid w:val="0"/>
        <w:spacing w:line="336" w:lineRule="auto"/>
        <w:ind w:firstLine="480" w:firstLineChars="200"/>
        <w:rPr>
          <w:rFonts w:hint="eastAsia" w:eastAsia="宋体"/>
          <w:color w:val="000000"/>
          <w:sz w:val="24"/>
          <w:lang w:val="en-US" w:eastAsia="zh-CN"/>
        </w:rPr>
      </w:pPr>
      <w:r>
        <w:rPr>
          <w:color w:val="000000"/>
          <w:sz w:val="24"/>
        </w:rPr>
        <w:t>附件2：</w:t>
      </w:r>
      <w:r>
        <w:rPr>
          <w:rFonts w:hint="eastAsia"/>
          <w:color w:val="000000"/>
          <w:sz w:val="24"/>
        </w:rPr>
        <w:t>建设单位统一社会信用代码</w:t>
      </w:r>
      <w:r>
        <w:rPr>
          <w:rFonts w:hint="eastAsia"/>
          <w:color w:val="000000"/>
          <w:sz w:val="24"/>
          <w:lang w:val="en-US" w:eastAsia="zh-CN"/>
        </w:rPr>
        <w:t>证书</w:t>
      </w:r>
    </w:p>
    <w:p w14:paraId="4DC45F8F">
      <w:pPr>
        <w:pStyle w:val="60"/>
      </w:pPr>
    </w:p>
    <w:p w14:paraId="1481C9F8">
      <w:pPr>
        <w:adjustRightInd w:val="0"/>
        <w:snapToGrid w:val="0"/>
        <w:spacing w:line="336" w:lineRule="auto"/>
        <w:rPr>
          <w:color w:val="000000"/>
          <w:sz w:val="24"/>
        </w:rPr>
      </w:pPr>
      <w:r>
        <w:rPr>
          <w:b/>
          <w:bCs/>
          <w:color w:val="000000"/>
          <w:sz w:val="24"/>
        </w:rPr>
        <w:t>附表：</w:t>
      </w:r>
      <w:r>
        <w:rPr>
          <w:color w:val="000000"/>
          <w:sz w:val="24"/>
        </w:rPr>
        <w:t>建设项目污染物排放量汇总表</w:t>
      </w:r>
    </w:p>
    <w:p w14:paraId="36273CA3">
      <w:pPr>
        <w:pStyle w:val="24"/>
        <w:spacing w:line="360" w:lineRule="auto"/>
        <w:jc w:val="center"/>
        <w:rPr>
          <w:rFonts w:ascii="Times New Roman" w:hAnsi="Times New Roman"/>
          <w:snapToGrid w:val="0"/>
          <w:szCs w:val="24"/>
        </w:rPr>
      </w:pPr>
      <w:bookmarkStart w:id="5" w:name="_Toc17651"/>
      <w:bookmarkStart w:id="6" w:name="_Toc11435"/>
    </w:p>
    <w:p w14:paraId="7600CCE1">
      <w:pPr>
        <w:pStyle w:val="24"/>
        <w:spacing w:line="360" w:lineRule="auto"/>
        <w:jc w:val="center"/>
        <w:rPr>
          <w:rFonts w:ascii="Times New Roman" w:hAnsi="Times New Roman"/>
          <w:snapToGrid w:val="0"/>
          <w:szCs w:val="24"/>
        </w:rPr>
      </w:pPr>
    </w:p>
    <w:p w14:paraId="71C5A327">
      <w:pPr>
        <w:pStyle w:val="24"/>
        <w:spacing w:line="360" w:lineRule="auto"/>
        <w:jc w:val="center"/>
        <w:rPr>
          <w:rFonts w:ascii="Times New Roman" w:hAnsi="Times New Roman"/>
          <w:snapToGrid w:val="0"/>
          <w:szCs w:val="24"/>
        </w:rPr>
      </w:pPr>
    </w:p>
    <w:p w14:paraId="4C28A73E">
      <w:pPr>
        <w:pStyle w:val="24"/>
        <w:spacing w:line="360" w:lineRule="auto"/>
        <w:jc w:val="center"/>
        <w:rPr>
          <w:rFonts w:ascii="Times New Roman" w:hAnsi="Times New Roman"/>
          <w:snapToGrid w:val="0"/>
          <w:szCs w:val="24"/>
        </w:rPr>
      </w:pPr>
    </w:p>
    <w:p w14:paraId="1238E8C5">
      <w:pPr>
        <w:pStyle w:val="24"/>
        <w:spacing w:line="360" w:lineRule="auto"/>
        <w:jc w:val="center"/>
        <w:rPr>
          <w:rFonts w:ascii="Times New Roman" w:hAnsi="Times New Roman"/>
          <w:snapToGrid w:val="0"/>
          <w:szCs w:val="24"/>
        </w:rPr>
        <w:sectPr>
          <w:footerReference r:id="rId3" w:type="default"/>
          <w:pgSz w:w="11906" w:h="16838"/>
          <w:pgMar w:top="1134" w:right="1134" w:bottom="1134"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105383F1">
      <w:pPr>
        <w:pStyle w:val="50"/>
        <w:outlineLvl w:val="0"/>
      </w:pPr>
      <w:bookmarkStart w:id="7" w:name="_Toc6611"/>
      <w:bookmarkStart w:id="8" w:name="_Toc25334"/>
      <w:bookmarkStart w:id="9" w:name="_Toc13704"/>
      <w:r>
        <w:t>建设项目基本情况</w:t>
      </w:r>
      <w:bookmarkEnd w:id="4"/>
      <w:bookmarkEnd w:id="5"/>
      <w:bookmarkEnd w:id="6"/>
      <w:bookmarkEnd w:id="7"/>
      <w:bookmarkEnd w:id="8"/>
      <w:bookmarkEnd w:id="9"/>
    </w:p>
    <w:tbl>
      <w:tblPr>
        <w:tblStyle w:val="28"/>
        <w:tblW w:w="49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46"/>
        <w:gridCol w:w="1647"/>
        <w:gridCol w:w="2305"/>
        <w:gridCol w:w="3687"/>
      </w:tblGrid>
      <w:tr w14:paraId="55F1C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1649" w:type="dxa"/>
            <w:tcMar>
              <w:top w:w="16" w:type="dxa"/>
              <w:left w:w="16" w:type="dxa"/>
              <w:right w:w="16" w:type="dxa"/>
            </w:tcMar>
            <w:vAlign w:val="center"/>
          </w:tcPr>
          <w:p w14:paraId="142959E1">
            <w:pPr>
              <w:adjustRightInd w:val="0"/>
              <w:snapToGrid w:val="0"/>
              <w:jc w:val="center"/>
              <w:rPr>
                <w:szCs w:val="21"/>
              </w:rPr>
            </w:pPr>
            <w:r>
              <w:rPr>
                <w:szCs w:val="21"/>
              </w:rPr>
              <w:t>建设项目名称</w:t>
            </w:r>
          </w:p>
        </w:tc>
        <w:tc>
          <w:tcPr>
            <w:tcW w:w="7644" w:type="dxa"/>
            <w:gridSpan w:val="3"/>
            <w:vAlign w:val="center"/>
          </w:tcPr>
          <w:p w14:paraId="417F6916">
            <w:pPr>
              <w:pStyle w:val="118"/>
              <w:jc w:val="center"/>
              <w:rPr>
                <w:rFonts w:hint="eastAsia" w:ascii="Times New Roman" w:hAnsi="Times New Roman" w:eastAsia="宋体"/>
                <w:lang w:eastAsia="zh-CN"/>
              </w:rPr>
            </w:pPr>
            <w:r>
              <w:rPr>
                <w:rFonts w:hint="eastAsia" w:ascii="Times New Roman" w:hAnsi="Times New Roman"/>
                <w:lang w:eastAsia="zh-CN"/>
              </w:rPr>
              <w:t>宁都县青塘镇污水处理厂工程</w:t>
            </w:r>
          </w:p>
        </w:tc>
      </w:tr>
      <w:tr w14:paraId="14C1D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9" w:type="dxa"/>
            <w:tcMar>
              <w:top w:w="16" w:type="dxa"/>
              <w:left w:w="16" w:type="dxa"/>
              <w:right w:w="16" w:type="dxa"/>
            </w:tcMar>
            <w:vAlign w:val="center"/>
          </w:tcPr>
          <w:p w14:paraId="1C2E3936">
            <w:pPr>
              <w:adjustRightInd w:val="0"/>
              <w:snapToGrid w:val="0"/>
              <w:jc w:val="center"/>
              <w:rPr>
                <w:szCs w:val="21"/>
              </w:rPr>
            </w:pPr>
            <w:r>
              <w:rPr>
                <w:szCs w:val="21"/>
              </w:rPr>
              <w:t>项目代码</w:t>
            </w:r>
          </w:p>
        </w:tc>
        <w:tc>
          <w:tcPr>
            <w:tcW w:w="7644" w:type="dxa"/>
            <w:gridSpan w:val="3"/>
            <w:vAlign w:val="center"/>
          </w:tcPr>
          <w:p w14:paraId="6E8C4DD1">
            <w:pPr>
              <w:pStyle w:val="54"/>
              <w:rPr>
                <w:rFonts w:hint="default" w:ascii="Times New Roman" w:hAnsi="Times New Roman" w:cs="Times New Roman"/>
              </w:rPr>
            </w:pPr>
          </w:p>
        </w:tc>
      </w:tr>
      <w:tr w14:paraId="444F6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9" w:type="dxa"/>
            <w:tcMar>
              <w:top w:w="16" w:type="dxa"/>
              <w:left w:w="16" w:type="dxa"/>
              <w:right w:w="16" w:type="dxa"/>
            </w:tcMar>
            <w:vAlign w:val="center"/>
          </w:tcPr>
          <w:p w14:paraId="1C978B3F">
            <w:pPr>
              <w:adjustRightInd w:val="0"/>
              <w:snapToGrid w:val="0"/>
              <w:jc w:val="center"/>
              <w:rPr>
                <w:szCs w:val="21"/>
              </w:rPr>
            </w:pPr>
            <w:r>
              <w:rPr>
                <w:szCs w:val="21"/>
              </w:rPr>
              <w:t>建设单位联系人</w:t>
            </w:r>
          </w:p>
        </w:tc>
        <w:tc>
          <w:tcPr>
            <w:tcW w:w="1647" w:type="dxa"/>
            <w:vAlign w:val="center"/>
          </w:tcPr>
          <w:p w14:paraId="4EFE836B">
            <w:pPr>
              <w:adjustRightInd w:val="0"/>
              <w:snapToGrid w:val="0"/>
              <w:jc w:val="center"/>
              <w:rPr>
                <w:rFonts w:hint="default" w:ascii="Times New Roman" w:hAnsi="Times New Roman" w:cs="Times New Roman"/>
              </w:rPr>
            </w:pPr>
          </w:p>
        </w:tc>
        <w:tc>
          <w:tcPr>
            <w:tcW w:w="2306" w:type="dxa"/>
            <w:vAlign w:val="center"/>
          </w:tcPr>
          <w:p w14:paraId="7A9F5661">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联系方式</w:t>
            </w:r>
          </w:p>
        </w:tc>
        <w:tc>
          <w:tcPr>
            <w:tcW w:w="3691" w:type="dxa"/>
            <w:vAlign w:val="center"/>
          </w:tcPr>
          <w:p w14:paraId="0507392E">
            <w:pPr>
              <w:adjustRightInd w:val="0"/>
              <w:snapToGrid w:val="0"/>
              <w:jc w:val="center"/>
              <w:rPr>
                <w:rFonts w:hint="default" w:ascii="Times New Roman" w:hAnsi="Times New Roman" w:cs="Times New Roman"/>
              </w:rPr>
            </w:pPr>
          </w:p>
        </w:tc>
      </w:tr>
      <w:tr w14:paraId="4284C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9" w:type="dxa"/>
            <w:tcMar>
              <w:top w:w="16" w:type="dxa"/>
              <w:left w:w="16" w:type="dxa"/>
              <w:right w:w="16" w:type="dxa"/>
            </w:tcMar>
            <w:vAlign w:val="center"/>
          </w:tcPr>
          <w:p w14:paraId="26609EC1">
            <w:pPr>
              <w:adjustRightInd w:val="0"/>
              <w:snapToGrid w:val="0"/>
              <w:jc w:val="center"/>
              <w:rPr>
                <w:szCs w:val="21"/>
              </w:rPr>
            </w:pPr>
            <w:r>
              <w:rPr>
                <w:szCs w:val="21"/>
              </w:rPr>
              <w:t>建设地点</w:t>
            </w:r>
          </w:p>
        </w:tc>
        <w:tc>
          <w:tcPr>
            <w:tcW w:w="7644" w:type="dxa"/>
            <w:gridSpan w:val="3"/>
            <w:vAlign w:val="center"/>
          </w:tcPr>
          <w:p w14:paraId="0917E62F">
            <w:pPr>
              <w:pStyle w:val="54"/>
            </w:pPr>
            <w:r>
              <w:rPr>
                <w:rFonts w:hint="eastAsia"/>
              </w:rPr>
              <w:t>宁都县青塘镇青塘村</w:t>
            </w:r>
            <w:r>
              <w:rPr>
                <w:rFonts w:hint="eastAsia"/>
                <w:lang w:eastAsia="zh-CN"/>
              </w:rPr>
              <w:t>松林寺</w:t>
            </w:r>
            <w:r>
              <w:rPr>
                <w:rFonts w:hint="eastAsia"/>
              </w:rPr>
              <w:t>对面</w:t>
            </w:r>
          </w:p>
        </w:tc>
      </w:tr>
      <w:tr w14:paraId="3BE7D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9" w:type="dxa"/>
            <w:tcMar>
              <w:top w:w="16" w:type="dxa"/>
              <w:left w:w="16" w:type="dxa"/>
              <w:right w:w="16" w:type="dxa"/>
            </w:tcMar>
            <w:vAlign w:val="center"/>
          </w:tcPr>
          <w:p w14:paraId="6667607C">
            <w:pPr>
              <w:adjustRightInd w:val="0"/>
              <w:snapToGrid w:val="0"/>
              <w:jc w:val="center"/>
              <w:rPr>
                <w:szCs w:val="21"/>
              </w:rPr>
            </w:pPr>
            <w:r>
              <w:rPr>
                <w:szCs w:val="21"/>
              </w:rPr>
              <w:t>地理坐标</w:t>
            </w:r>
          </w:p>
        </w:tc>
        <w:tc>
          <w:tcPr>
            <w:tcW w:w="7644" w:type="dxa"/>
            <w:gridSpan w:val="3"/>
            <w:vAlign w:val="center"/>
          </w:tcPr>
          <w:p w14:paraId="46AF993B">
            <w:pPr>
              <w:pStyle w:val="38"/>
              <w:bidi w:val="0"/>
            </w:pPr>
            <w:r>
              <w:rPr>
                <w:rFonts w:hint="eastAsia"/>
              </w:rPr>
              <w:t>E115°51'53.101"</w:t>
            </w:r>
            <w:r>
              <w:rPr>
                <w:rFonts w:hint="eastAsia"/>
                <w:lang w:eastAsia="zh-CN"/>
              </w:rPr>
              <w:t>,</w:t>
            </w:r>
            <w:r>
              <w:rPr>
                <w:rFonts w:hint="eastAsia"/>
              </w:rPr>
              <w:t>N26°25'49.138"</w:t>
            </w:r>
          </w:p>
        </w:tc>
      </w:tr>
      <w:tr w14:paraId="11707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49" w:type="dxa"/>
            <w:tcMar>
              <w:top w:w="16" w:type="dxa"/>
              <w:left w:w="16" w:type="dxa"/>
              <w:right w:w="16" w:type="dxa"/>
            </w:tcMar>
            <w:vAlign w:val="center"/>
          </w:tcPr>
          <w:p w14:paraId="68DAD28D">
            <w:pPr>
              <w:adjustRightInd w:val="0"/>
              <w:snapToGrid w:val="0"/>
              <w:jc w:val="center"/>
              <w:rPr>
                <w:szCs w:val="21"/>
              </w:rPr>
            </w:pPr>
            <w:r>
              <w:rPr>
                <w:szCs w:val="21"/>
              </w:rPr>
              <w:t>国民经济</w:t>
            </w:r>
          </w:p>
          <w:p w14:paraId="5B3A43A5">
            <w:pPr>
              <w:adjustRightInd w:val="0"/>
              <w:snapToGrid w:val="0"/>
              <w:jc w:val="center"/>
              <w:rPr>
                <w:szCs w:val="21"/>
              </w:rPr>
            </w:pPr>
            <w:r>
              <w:rPr>
                <w:szCs w:val="21"/>
              </w:rPr>
              <w:t>行业类别</w:t>
            </w:r>
          </w:p>
        </w:tc>
        <w:tc>
          <w:tcPr>
            <w:tcW w:w="1647" w:type="dxa"/>
            <w:vAlign w:val="center"/>
          </w:tcPr>
          <w:p w14:paraId="5D9D9BF8">
            <w:pPr>
              <w:adjustRightInd w:val="0"/>
              <w:snapToGrid w:val="0"/>
              <w:jc w:val="center"/>
              <w:rPr>
                <w:szCs w:val="21"/>
              </w:rPr>
            </w:pPr>
            <w:r>
              <w:rPr>
                <w:rFonts w:hint="eastAsia"/>
                <w:szCs w:val="21"/>
              </w:rPr>
              <w:t>D4620污水处理及其再生利用</w:t>
            </w:r>
          </w:p>
        </w:tc>
        <w:tc>
          <w:tcPr>
            <w:tcW w:w="2306" w:type="dxa"/>
            <w:vAlign w:val="center"/>
          </w:tcPr>
          <w:p w14:paraId="0ED19569">
            <w:pPr>
              <w:adjustRightInd w:val="0"/>
              <w:snapToGrid w:val="0"/>
              <w:jc w:val="center"/>
              <w:rPr>
                <w:rFonts w:ascii="宋体" w:hAnsi="宋体" w:cs="宋体"/>
                <w:szCs w:val="21"/>
              </w:rPr>
            </w:pPr>
            <w:r>
              <w:rPr>
                <w:rFonts w:hint="eastAsia" w:ascii="宋体" w:hAnsi="宋体" w:cs="宋体"/>
                <w:szCs w:val="21"/>
              </w:rPr>
              <w:t>建设项目</w:t>
            </w:r>
          </w:p>
          <w:p w14:paraId="286A6C41">
            <w:pPr>
              <w:adjustRightInd w:val="0"/>
              <w:snapToGrid w:val="0"/>
              <w:jc w:val="center"/>
              <w:rPr>
                <w:szCs w:val="21"/>
              </w:rPr>
            </w:pPr>
            <w:r>
              <w:rPr>
                <w:rFonts w:hint="eastAsia" w:ascii="宋体" w:hAnsi="宋体" w:cs="宋体"/>
                <w:szCs w:val="21"/>
              </w:rPr>
              <w:t>行业类别</w:t>
            </w:r>
          </w:p>
        </w:tc>
        <w:tc>
          <w:tcPr>
            <w:tcW w:w="3691" w:type="dxa"/>
            <w:vAlign w:val="center"/>
          </w:tcPr>
          <w:p w14:paraId="258DA2EC">
            <w:pPr>
              <w:adjustRightInd w:val="0"/>
              <w:snapToGrid w:val="0"/>
              <w:jc w:val="center"/>
              <w:rPr>
                <w:szCs w:val="21"/>
              </w:rPr>
            </w:pPr>
            <w:r>
              <w:rPr>
                <w:rFonts w:hint="eastAsia"/>
                <w:szCs w:val="21"/>
              </w:rPr>
              <w:t>四十三、水的生产和供应业；</w:t>
            </w:r>
            <w:r>
              <w:rPr>
                <w:szCs w:val="21"/>
              </w:rPr>
              <w:t>95污水处理及其再生利用</w:t>
            </w:r>
            <w:r>
              <w:rPr>
                <w:rFonts w:hint="eastAsia"/>
                <w:szCs w:val="21"/>
              </w:rPr>
              <w:t>：新建、扩建日处理10万吨以下500吨及以上城乡污水处理的；</w:t>
            </w:r>
          </w:p>
        </w:tc>
      </w:tr>
      <w:tr w14:paraId="01579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49" w:type="dxa"/>
            <w:tcMar>
              <w:top w:w="16" w:type="dxa"/>
              <w:left w:w="16" w:type="dxa"/>
              <w:right w:w="16" w:type="dxa"/>
            </w:tcMar>
            <w:vAlign w:val="center"/>
          </w:tcPr>
          <w:p w14:paraId="4F279BA4">
            <w:pPr>
              <w:adjustRightInd w:val="0"/>
              <w:snapToGrid w:val="0"/>
              <w:jc w:val="center"/>
              <w:rPr>
                <w:szCs w:val="21"/>
              </w:rPr>
            </w:pPr>
            <w:r>
              <w:rPr>
                <w:szCs w:val="21"/>
              </w:rPr>
              <w:t>建设性质</w:t>
            </w:r>
          </w:p>
        </w:tc>
        <w:tc>
          <w:tcPr>
            <w:tcW w:w="1647" w:type="dxa"/>
            <w:vAlign w:val="center"/>
          </w:tcPr>
          <w:p w14:paraId="776FAF49">
            <w:pPr>
              <w:jc w:val="left"/>
              <w:rPr>
                <w:szCs w:val="21"/>
              </w:rPr>
            </w:pPr>
            <w:r>
              <w:rPr>
                <w:szCs w:val="21"/>
              </w:rPr>
              <w:sym w:font="Wingdings 2" w:char="0052"/>
            </w:r>
            <w:r>
              <w:rPr>
                <w:szCs w:val="21"/>
              </w:rPr>
              <w:t>新建（迁建）</w:t>
            </w:r>
          </w:p>
          <w:p w14:paraId="51D5C172">
            <w:pPr>
              <w:jc w:val="left"/>
              <w:rPr>
                <w:szCs w:val="21"/>
              </w:rPr>
            </w:pPr>
            <w:r>
              <w:rPr>
                <w:szCs w:val="21"/>
              </w:rPr>
              <w:sym w:font="Wingdings 2" w:char="00A3"/>
            </w:r>
            <w:r>
              <w:rPr>
                <w:szCs w:val="21"/>
              </w:rPr>
              <w:t>改建</w:t>
            </w:r>
          </w:p>
          <w:p w14:paraId="748CDDC6">
            <w:pPr>
              <w:jc w:val="left"/>
              <w:rPr>
                <w:szCs w:val="21"/>
              </w:rPr>
            </w:pPr>
            <w:r>
              <w:rPr>
                <w:szCs w:val="21"/>
              </w:rPr>
              <w:sym w:font="Wingdings 2" w:char="00A3"/>
            </w:r>
            <w:r>
              <w:rPr>
                <w:szCs w:val="21"/>
              </w:rPr>
              <w:t>扩建</w:t>
            </w:r>
          </w:p>
          <w:p w14:paraId="527D353F">
            <w:pPr>
              <w:jc w:val="left"/>
              <w:rPr>
                <w:szCs w:val="21"/>
              </w:rPr>
            </w:pPr>
            <w:r>
              <w:rPr>
                <w:szCs w:val="21"/>
              </w:rPr>
              <w:sym w:font="Wingdings 2" w:char="00A3"/>
            </w:r>
            <w:r>
              <w:rPr>
                <w:szCs w:val="21"/>
              </w:rPr>
              <w:t>技术改造</w:t>
            </w:r>
          </w:p>
        </w:tc>
        <w:tc>
          <w:tcPr>
            <w:tcW w:w="2306" w:type="dxa"/>
            <w:vAlign w:val="center"/>
          </w:tcPr>
          <w:p w14:paraId="56B021F5">
            <w:pPr>
              <w:adjustRightInd w:val="0"/>
              <w:snapToGrid w:val="0"/>
              <w:jc w:val="center"/>
            </w:pPr>
            <w:r>
              <w:t>建设项目</w:t>
            </w:r>
          </w:p>
          <w:p w14:paraId="32A756A8">
            <w:pPr>
              <w:adjustRightInd w:val="0"/>
              <w:snapToGrid w:val="0"/>
              <w:jc w:val="center"/>
            </w:pPr>
            <w:r>
              <w:t>申报情形</w:t>
            </w:r>
          </w:p>
        </w:tc>
        <w:tc>
          <w:tcPr>
            <w:tcW w:w="3691" w:type="dxa"/>
            <w:vAlign w:val="center"/>
          </w:tcPr>
          <w:p w14:paraId="38CB2353">
            <w:pPr>
              <w:jc w:val="left"/>
              <w:rPr>
                <w:szCs w:val="21"/>
              </w:rPr>
            </w:pPr>
            <w:r>
              <w:rPr>
                <w:szCs w:val="21"/>
              </w:rPr>
              <w:sym w:font="Wingdings 2" w:char="0052"/>
            </w:r>
            <w:r>
              <w:rPr>
                <w:szCs w:val="21"/>
              </w:rPr>
              <w:t>首次申报项目</w:t>
            </w:r>
          </w:p>
          <w:p w14:paraId="304770BE">
            <w:pPr>
              <w:jc w:val="left"/>
              <w:rPr>
                <w:szCs w:val="21"/>
              </w:rPr>
            </w:pPr>
            <w:r>
              <w:rPr>
                <w:szCs w:val="21"/>
              </w:rPr>
              <w:sym w:font="Wingdings 2" w:char="00A3"/>
            </w:r>
            <w:r>
              <w:rPr>
                <w:szCs w:val="21"/>
              </w:rPr>
              <w:t>不予批准后再次申报项目</w:t>
            </w:r>
          </w:p>
          <w:p w14:paraId="3EC3959A">
            <w:pPr>
              <w:jc w:val="left"/>
              <w:rPr>
                <w:szCs w:val="21"/>
              </w:rPr>
            </w:pPr>
            <w:r>
              <w:rPr>
                <w:szCs w:val="21"/>
              </w:rPr>
              <w:sym w:font="Wingdings 2" w:char="00A3"/>
            </w:r>
            <w:r>
              <w:rPr>
                <w:szCs w:val="21"/>
              </w:rPr>
              <w:t>超五年重新审核项目</w:t>
            </w:r>
          </w:p>
          <w:p w14:paraId="5C8FBBB7">
            <w:pPr>
              <w:jc w:val="left"/>
              <w:rPr>
                <w:szCs w:val="21"/>
              </w:rPr>
            </w:pPr>
            <w:r>
              <w:rPr>
                <w:szCs w:val="21"/>
              </w:rPr>
              <w:sym w:font="Wingdings 2" w:char="00A3"/>
            </w:r>
            <w:r>
              <w:rPr>
                <w:szCs w:val="21"/>
              </w:rPr>
              <w:t>重大变动重新报批项目</w:t>
            </w:r>
          </w:p>
        </w:tc>
      </w:tr>
      <w:tr w14:paraId="76582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49" w:type="dxa"/>
            <w:tcMar>
              <w:top w:w="16" w:type="dxa"/>
              <w:left w:w="16" w:type="dxa"/>
              <w:right w:w="16" w:type="dxa"/>
            </w:tcMar>
            <w:vAlign w:val="center"/>
          </w:tcPr>
          <w:p w14:paraId="090574DF">
            <w:pPr>
              <w:adjustRightInd w:val="0"/>
              <w:snapToGrid w:val="0"/>
              <w:jc w:val="center"/>
              <w:rPr>
                <w:szCs w:val="21"/>
              </w:rPr>
            </w:pPr>
            <w:r>
              <w:rPr>
                <w:szCs w:val="21"/>
              </w:rPr>
              <w:t>项目审批（核准/</w:t>
            </w:r>
          </w:p>
          <w:p w14:paraId="216F7197">
            <w:pPr>
              <w:adjustRightInd w:val="0"/>
              <w:snapToGrid w:val="0"/>
              <w:jc w:val="center"/>
              <w:rPr>
                <w:szCs w:val="21"/>
              </w:rPr>
            </w:pPr>
            <w:r>
              <w:rPr>
                <w:szCs w:val="21"/>
              </w:rPr>
              <w:t>备案）部门（选填）</w:t>
            </w:r>
          </w:p>
        </w:tc>
        <w:tc>
          <w:tcPr>
            <w:tcW w:w="1647" w:type="dxa"/>
            <w:vAlign w:val="center"/>
          </w:tcPr>
          <w:p w14:paraId="650AF00B">
            <w:pPr>
              <w:adjustRightInd w:val="0"/>
              <w:snapToGrid w:val="0"/>
              <w:jc w:val="center"/>
              <w:rPr>
                <w:szCs w:val="21"/>
              </w:rPr>
            </w:pPr>
          </w:p>
        </w:tc>
        <w:tc>
          <w:tcPr>
            <w:tcW w:w="2306" w:type="dxa"/>
            <w:vAlign w:val="center"/>
          </w:tcPr>
          <w:p w14:paraId="7CBDEFCF">
            <w:pPr>
              <w:adjustRightInd w:val="0"/>
              <w:snapToGrid w:val="0"/>
              <w:jc w:val="center"/>
              <w:rPr>
                <w:szCs w:val="21"/>
              </w:rPr>
            </w:pPr>
            <w:r>
              <w:rPr>
                <w:szCs w:val="21"/>
              </w:rPr>
              <w:t>项目审批（核准/</w:t>
            </w:r>
          </w:p>
          <w:p w14:paraId="4D744006">
            <w:pPr>
              <w:adjustRightInd w:val="0"/>
              <w:snapToGrid w:val="0"/>
              <w:jc w:val="center"/>
              <w:rPr>
                <w:szCs w:val="21"/>
              </w:rPr>
            </w:pPr>
            <w:r>
              <w:rPr>
                <w:szCs w:val="21"/>
              </w:rPr>
              <w:t>备案）文号（选填）</w:t>
            </w:r>
          </w:p>
        </w:tc>
        <w:tc>
          <w:tcPr>
            <w:tcW w:w="3691" w:type="dxa"/>
            <w:vAlign w:val="center"/>
          </w:tcPr>
          <w:p w14:paraId="40F3FE5F">
            <w:pPr>
              <w:adjustRightInd w:val="0"/>
              <w:snapToGrid w:val="0"/>
              <w:jc w:val="center"/>
              <w:rPr>
                <w:szCs w:val="21"/>
              </w:rPr>
            </w:pPr>
          </w:p>
        </w:tc>
      </w:tr>
      <w:tr w14:paraId="695611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9" w:type="dxa"/>
            <w:tcMar>
              <w:top w:w="16" w:type="dxa"/>
              <w:left w:w="16" w:type="dxa"/>
              <w:right w:w="16" w:type="dxa"/>
            </w:tcMar>
            <w:vAlign w:val="center"/>
          </w:tcPr>
          <w:p w14:paraId="0EF8CBE6">
            <w:pPr>
              <w:adjustRightInd w:val="0"/>
              <w:snapToGrid w:val="0"/>
              <w:jc w:val="center"/>
              <w:rPr>
                <w:szCs w:val="21"/>
              </w:rPr>
            </w:pPr>
            <w:r>
              <w:rPr>
                <w:szCs w:val="21"/>
              </w:rPr>
              <w:t>总投资（万元）</w:t>
            </w:r>
          </w:p>
        </w:tc>
        <w:tc>
          <w:tcPr>
            <w:tcW w:w="1647" w:type="dxa"/>
            <w:vAlign w:val="center"/>
          </w:tcPr>
          <w:p w14:paraId="0BF86125">
            <w:pPr>
              <w:adjustRightInd w:val="0"/>
              <w:snapToGrid w:val="0"/>
              <w:jc w:val="center"/>
              <w:rPr>
                <w:rFonts w:hint="default" w:eastAsia="宋体"/>
                <w:szCs w:val="21"/>
                <w:lang w:val="en-US" w:eastAsia="zh-CN"/>
              </w:rPr>
            </w:pPr>
            <w:r>
              <w:rPr>
                <w:rFonts w:hint="eastAsia"/>
                <w:szCs w:val="21"/>
                <w:lang w:val="en-US" w:eastAsia="zh-CN"/>
              </w:rPr>
              <w:t>437.16</w:t>
            </w:r>
          </w:p>
        </w:tc>
        <w:tc>
          <w:tcPr>
            <w:tcW w:w="2306" w:type="dxa"/>
            <w:tcMar>
              <w:top w:w="16" w:type="dxa"/>
              <w:left w:w="16" w:type="dxa"/>
              <w:right w:w="16" w:type="dxa"/>
            </w:tcMar>
            <w:vAlign w:val="center"/>
          </w:tcPr>
          <w:p w14:paraId="26300ED0">
            <w:pPr>
              <w:adjustRightInd w:val="0"/>
              <w:snapToGrid w:val="0"/>
              <w:jc w:val="center"/>
              <w:rPr>
                <w:szCs w:val="21"/>
              </w:rPr>
            </w:pPr>
            <w:r>
              <w:rPr>
                <w:szCs w:val="21"/>
              </w:rPr>
              <w:t>环保投资（万元）</w:t>
            </w:r>
          </w:p>
        </w:tc>
        <w:tc>
          <w:tcPr>
            <w:tcW w:w="3691" w:type="dxa"/>
            <w:vAlign w:val="center"/>
          </w:tcPr>
          <w:p w14:paraId="44132B97">
            <w:pPr>
              <w:adjustRightInd w:val="0"/>
              <w:snapToGrid w:val="0"/>
              <w:jc w:val="center"/>
              <w:rPr>
                <w:rFonts w:hint="default" w:eastAsia="宋体"/>
                <w:szCs w:val="21"/>
                <w:lang w:val="en-US" w:eastAsia="zh-CN"/>
              </w:rPr>
            </w:pPr>
            <w:r>
              <w:rPr>
                <w:rFonts w:hint="eastAsia"/>
                <w:szCs w:val="21"/>
                <w:lang w:val="en-US" w:eastAsia="zh-CN"/>
              </w:rPr>
              <w:t>357.44</w:t>
            </w:r>
          </w:p>
        </w:tc>
      </w:tr>
      <w:tr w14:paraId="3E75F5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49" w:type="dxa"/>
            <w:tcMar>
              <w:top w:w="16" w:type="dxa"/>
              <w:left w:w="16" w:type="dxa"/>
              <w:right w:w="16" w:type="dxa"/>
            </w:tcMar>
            <w:vAlign w:val="center"/>
          </w:tcPr>
          <w:p w14:paraId="4F279AAB">
            <w:pPr>
              <w:adjustRightInd w:val="0"/>
              <w:snapToGrid w:val="0"/>
              <w:jc w:val="center"/>
              <w:rPr>
                <w:szCs w:val="21"/>
              </w:rPr>
            </w:pPr>
            <w:r>
              <w:rPr>
                <w:szCs w:val="21"/>
              </w:rPr>
              <w:t>环保投资占比（%）</w:t>
            </w:r>
          </w:p>
        </w:tc>
        <w:tc>
          <w:tcPr>
            <w:tcW w:w="1647" w:type="dxa"/>
            <w:vAlign w:val="center"/>
          </w:tcPr>
          <w:p w14:paraId="78DA92FD">
            <w:pPr>
              <w:adjustRightInd w:val="0"/>
              <w:snapToGrid w:val="0"/>
              <w:jc w:val="center"/>
              <w:rPr>
                <w:rFonts w:hint="default" w:eastAsia="宋体"/>
                <w:szCs w:val="21"/>
                <w:lang w:val="en-US" w:eastAsia="zh-CN"/>
              </w:rPr>
            </w:pPr>
            <w:r>
              <w:rPr>
                <w:rFonts w:hint="eastAsia"/>
                <w:szCs w:val="21"/>
                <w:lang w:val="en-US" w:eastAsia="zh-CN"/>
              </w:rPr>
              <w:t>81.76</w:t>
            </w:r>
          </w:p>
        </w:tc>
        <w:tc>
          <w:tcPr>
            <w:tcW w:w="2306" w:type="dxa"/>
            <w:tcMar>
              <w:top w:w="16" w:type="dxa"/>
              <w:left w:w="16" w:type="dxa"/>
              <w:right w:w="16" w:type="dxa"/>
            </w:tcMar>
            <w:vAlign w:val="center"/>
          </w:tcPr>
          <w:p w14:paraId="0682A70A">
            <w:pPr>
              <w:adjustRightInd w:val="0"/>
              <w:snapToGrid w:val="0"/>
              <w:jc w:val="center"/>
              <w:rPr>
                <w:szCs w:val="21"/>
              </w:rPr>
            </w:pPr>
            <w:r>
              <w:rPr>
                <w:szCs w:val="21"/>
              </w:rPr>
              <w:t>施工工期</w:t>
            </w:r>
          </w:p>
        </w:tc>
        <w:tc>
          <w:tcPr>
            <w:tcW w:w="3691" w:type="dxa"/>
            <w:vAlign w:val="center"/>
          </w:tcPr>
          <w:p w14:paraId="68CD85FB">
            <w:pPr>
              <w:adjustRightInd w:val="0"/>
              <w:snapToGrid w:val="0"/>
              <w:jc w:val="center"/>
              <w:rPr>
                <w:szCs w:val="21"/>
              </w:rPr>
            </w:pPr>
            <w:r>
              <w:rPr>
                <w:rFonts w:hint="eastAsia"/>
                <w:szCs w:val="21"/>
                <w:lang w:val="en-US" w:eastAsia="zh-CN"/>
              </w:rPr>
              <w:t>6</w:t>
            </w:r>
            <w:r>
              <w:rPr>
                <w:rFonts w:hint="eastAsia"/>
                <w:szCs w:val="21"/>
              </w:rPr>
              <w:t>个月</w:t>
            </w:r>
          </w:p>
        </w:tc>
      </w:tr>
      <w:tr w14:paraId="43F2F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3" w:hRule="atLeast"/>
          <w:jc w:val="center"/>
        </w:trPr>
        <w:tc>
          <w:tcPr>
            <w:tcW w:w="1649" w:type="dxa"/>
            <w:tcMar>
              <w:top w:w="16" w:type="dxa"/>
              <w:left w:w="16" w:type="dxa"/>
              <w:right w:w="16" w:type="dxa"/>
            </w:tcMar>
            <w:vAlign w:val="center"/>
          </w:tcPr>
          <w:p w14:paraId="5BEEC5F4">
            <w:pPr>
              <w:adjustRightInd w:val="0"/>
              <w:snapToGrid w:val="0"/>
              <w:jc w:val="center"/>
              <w:rPr>
                <w:szCs w:val="21"/>
              </w:rPr>
            </w:pPr>
            <w:r>
              <w:rPr>
                <w:szCs w:val="21"/>
              </w:rPr>
              <w:t>是否开工建设</w:t>
            </w:r>
          </w:p>
        </w:tc>
        <w:tc>
          <w:tcPr>
            <w:tcW w:w="1647" w:type="dxa"/>
            <w:vAlign w:val="center"/>
          </w:tcPr>
          <w:p w14:paraId="4892B0EF">
            <w:pPr>
              <w:adjustRightInd w:val="0"/>
              <w:snapToGrid w:val="0"/>
              <w:rPr>
                <w:szCs w:val="21"/>
              </w:rPr>
            </w:pPr>
            <w:r>
              <w:rPr>
                <w:szCs w:val="21"/>
              </w:rPr>
              <w:sym w:font="Wingdings 2" w:char="00A3"/>
            </w:r>
            <w:r>
              <w:rPr>
                <w:szCs w:val="21"/>
              </w:rPr>
              <w:t>否</w:t>
            </w:r>
          </w:p>
          <w:p w14:paraId="50562426">
            <w:pPr>
              <w:adjustRightInd w:val="0"/>
              <w:snapToGrid w:val="0"/>
              <w:rPr>
                <w:rFonts w:hint="eastAsia" w:eastAsia="宋体"/>
                <w:szCs w:val="21"/>
                <w:lang w:val="en-US" w:eastAsia="zh-CN"/>
              </w:rPr>
            </w:pPr>
            <w:r>
              <w:rPr>
                <w:szCs w:val="21"/>
              </w:rPr>
              <w:sym w:font="Wingdings 2" w:char="0052"/>
            </w:r>
            <w:r>
              <w:rPr>
                <w:szCs w:val="21"/>
              </w:rPr>
              <w:t>是：</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p>
        </w:tc>
        <w:tc>
          <w:tcPr>
            <w:tcW w:w="2306" w:type="dxa"/>
            <w:tcMar>
              <w:top w:w="16" w:type="dxa"/>
              <w:left w:w="16" w:type="dxa"/>
              <w:right w:w="16" w:type="dxa"/>
            </w:tcMar>
            <w:vAlign w:val="center"/>
          </w:tcPr>
          <w:p w14:paraId="2E632545">
            <w:pPr>
              <w:adjustRightInd w:val="0"/>
              <w:snapToGrid w:val="0"/>
              <w:jc w:val="center"/>
              <w:rPr>
                <w:spacing w:val="-6"/>
                <w:szCs w:val="21"/>
              </w:rPr>
            </w:pPr>
            <w:r>
              <w:rPr>
                <w:spacing w:val="-6"/>
                <w:szCs w:val="21"/>
              </w:rPr>
              <w:t>用地（用海）</w:t>
            </w:r>
          </w:p>
          <w:p w14:paraId="5F0FB9B7">
            <w:pPr>
              <w:adjustRightInd w:val="0"/>
              <w:snapToGrid w:val="0"/>
              <w:jc w:val="center"/>
              <w:rPr>
                <w:szCs w:val="21"/>
              </w:rPr>
            </w:pPr>
            <w:r>
              <w:rPr>
                <w:spacing w:val="-6"/>
                <w:szCs w:val="21"/>
              </w:rPr>
              <w:t>面积（</w:t>
            </w:r>
            <w:r>
              <w:t>m</w:t>
            </w:r>
            <w:r>
              <w:rPr>
                <w:vertAlign w:val="superscript"/>
              </w:rPr>
              <w:t>2</w:t>
            </w:r>
            <w:r>
              <w:rPr>
                <w:spacing w:val="-6"/>
                <w:szCs w:val="21"/>
              </w:rPr>
              <w:t>）</w:t>
            </w:r>
          </w:p>
        </w:tc>
        <w:tc>
          <w:tcPr>
            <w:tcW w:w="3691" w:type="dxa"/>
            <w:vAlign w:val="center"/>
          </w:tcPr>
          <w:p w14:paraId="7186F64B">
            <w:pPr>
              <w:pStyle w:val="54"/>
              <w:rPr>
                <w:rFonts w:hint="default" w:eastAsia="宋体"/>
                <w:lang w:val="en-US" w:eastAsia="zh-CN"/>
              </w:rPr>
            </w:pPr>
            <w:r>
              <w:rPr>
                <w:rFonts w:hint="eastAsia"/>
                <w:lang w:val="en-US" w:eastAsia="zh-CN"/>
              </w:rPr>
              <w:t>651.28</w:t>
            </w:r>
          </w:p>
        </w:tc>
      </w:tr>
      <w:tr w14:paraId="544D8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49" w:type="dxa"/>
            <w:vAlign w:val="center"/>
          </w:tcPr>
          <w:p w14:paraId="79504F1E">
            <w:pPr>
              <w:autoSpaceDE w:val="0"/>
              <w:autoSpaceDN w:val="0"/>
              <w:adjustRightInd w:val="0"/>
              <w:snapToGrid w:val="0"/>
              <w:jc w:val="center"/>
              <w:rPr>
                <w:kern w:val="0"/>
                <w:szCs w:val="21"/>
              </w:rPr>
            </w:pPr>
            <w:r>
              <w:rPr>
                <w:kern w:val="0"/>
                <w:szCs w:val="21"/>
              </w:rPr>
              <w:t>专项评价设置情况</w:t>
            </w:r>
          </w:p>
        </w:tc>
        <w:tc>
          <w:tcPr>
            <w:tcW w:w="7644" w:type="dxa"/>
            <w:gridSpan w:val="3"/>
            <w:vAlign w:val="center"/>
          </w:tcPr>
          <w:p w14:paraId="25255529">
            <w:pPr>
              <w:spacing w:line="336" w:lineRule="auto"/>
              <w:ind w:firstLine="480" w:firstLineChars="200"/>
              <w:rPr>
                <w:sz w:val="24"/>
              </w:rPr>
            </w:pPr>
            <w:r>
              <w:rPr>
                <w:sz w:val="24"/>
              </w:rPr>
              <w:t>根据《建设项目环境影响报告表编制技术指南（</w:t>
            </w:r>
            <w:r>
              <w:rPr>
                <w:rFonts w:hint="eastAsia"/>
                <w:sz w:val="24"/>
              </w:rPr>
              <w:t>污染</w:t>
            </w:r>
            <w:r>
              <w:rPr>
                <w:sz w:val="24"/>
              </w:rPr>
              <w:t>影响类）（试行）》表1内容，对照本项目实际情况，本项目</w:t>
            </w:r>
            <w:r>
              <w:rPr>
                <w:rFonts w:hint="eastAsia"/>
                <w:sz w:val="24"/>
              </w:rPr>
              <w:t>需设置</w:t>
            </w:r>
            <w:r>
              <w:rPr>
                <w:sz w:val="24"/>
              </w:rPr>
              <w:t>专项评价</w:t>
            </w:r>
            <w:r>
              <w:rPr>
                <w:rFonts w:hint="eastAsia"/>
                <w:sz w:val="24"/>
              </w:rPr>
              <w:t>（地表水）</w:t>
            </w:r>
            <w:r>
              <w:rPr>
                <w:sz w:val="24"/>
              </w:rPr>
              <w:t>，具体专项评价设置原则详见</w:t>
            </w:r>
            <w:r>
              <w:rPr>
                <w:sz w:val="24"/>
              </w:rPr>
              <w:fldChar w:fldCharType="begin"/>
            </w:r>
            <w:r>
              <w:rPr>
                <w:sz w:val="24"/>
              </w:rPr>
              <w:instrText xml:space="preserve"> REF _Ref23492 \n \h </w:instrText>
            </w:r>
            <w:r>
              <w:rPr>
                <w:sz w:val="24"/>
              </w:rPr>
              <w:fldChar w:fldCharType="separate"/>
            </w:r>
            <w:r>
              <w:rPr>
                <w:sz w:val="24"/>
              </w:rPr>
              <w:t>表1-1</w:t>
            </w:r>
            <w:r>
              <w:rPr>
                <w:sz w:val="24"/>
              </w:rPr>
              <w:fldChar w:fldCharType="end"/>
            </w:r>
            <w:r>
              <w:rPr>
                <w:sz w:val="24"/>
              </w:rPr>
              <w:t>。</w:t>
            </w:r>
            <w:bookmarkStart w:id="10" w:name="_Ref6996"/>
          </w:p>
          <w:p w14:paraId="744ACF8A">
            <w:pPr>
              <w:pStyle w:val="52"/>
            </w:pPr>
            <w:bookmarkStart w:id="11" w:name="_Ref23492"/>
            <w:r>
              <w:t>专项评价设置原则表</w:t>
            </w:r>
            <w:bookmarkEnd w:id="10"/>
            <w:bookmarkEnd w:id="11"/>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3223"/>
              <w:gridCol w:w="2250"/>
              <w:gridCol w:w="1026"/>
            </w:tblGrid>
            <w:tr w14:paraId="50B97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20" w:type="pct"/>
                  <w:vAlign w:val="center"/>
                </w:tcPr>
                <w:p w14:paraId="475BA6BE">
                  <w:pPr>
                    <w:jc w:val="center"/>
                    <w:rPr>
                      <w:b/>
                      <w:bCs/>
                      <w:szCs w:val="21"/>
                    </w:rPr>
                  </w:pPr>
                  <w:r>
                    <w:rPr>
                      <w:b/>
                      <w:bCs/>
                      <w:szCs w:val="21"/>
                    </w:rPr>
                    <w:t>专项评价的类别</w:t>
                  </w:r>
                </w:p>
              </w:tc>
              <w:tc>
                <w:tcPr>
                  <w:tcW w:w="2171" w:type="pct"/>
                  <w:vAlign w:val="center"/>
                </w:tcPr>
                <w:p w14:paraId="6A54592F">
                  <w:pPr>
                    <w:jc w:val="center"/>
                    <w:rPr>
                      <w:b/>
                      <w:bCs/>
                      <w:szCs w:val="21"/>
                    </w:rPr>
                  </w:pPr>
                  <w:r>
                    <w:rPr>
                      <w:rFonts w:hint="eastAsia"/>
                      <w:b/>
                      <w:bCs/>
                      <w:szCs w:val="21"/>
                    </w:rPr>
                    <w:t>设置原则</w:t>
                  </w:r>
                </w:p>
              </w:tc>
              <w:tc>
                <w:tcPr>
                  <w:tcW w:w="1516" w:type="pct"/>
                  <w:vAlign w:val="center"/>
                </w:tcPr>
                <w:p w14:paraId="58EB9F3C">
                  <w:pPr>
                    <w:jc w:val="center"/>
                    <w:rPr>
                      <w:b/>
                      <w:bCs/>
                      <w:szCs w:val="21"/>
                    </w:rPr>
                  </w:pPr>
                  <w:r>
                    <w:rPr>
                      <w:rFonts w:hint="eastAsia"/>
                      <w:b/>
                      <w:bCs/>
                      <w:szCs w:val="21"/>
                    </w:rPr>
                    <w:t>本项目情况</w:t>
                  </w:r>
                </w:p>
              </w:tc>
              <w:tc>
                <w:tcPr>
                  <w:tcW w:w="691" w:type="pct"/>
                  <w:vAlign w:val="center"/>
                </w:tcPr>
                <w:p w14:paraId="2342C057">
                  <w:pPr>
                    <w:jc w:val="center"/>
                    <w:rPr>
                      <w:b/>
                      <w:bCs/>
                      <w:szCs w:val="21"/>
                    </w:rPr>
                  </w:pPr>
                  <w:r>
                    <w:rPr>
                      <w:rFonts w:hint="eastAsia"/>
                      <w:b/>
                      <w:bCs/>
                      <w:szCs w:val="21"/>
                    </w:rPr>
                    <w:t>设置专项评价</w:t>
                  </w:r>
                </w:p>
              </w:tc>
            </w:tr>
            <w:tr w14:paraId="260B9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20" w:type="pct"/>
                  <w:vAlign w:val="center"/>
                </w:tcPr>
                <w:p w14:paraId="3BC3D3CD">
                  <w:pPr>
                    <w:jc w:val="center"/>
                    <w:rPr>
                      <w:szCs w:val="21"/>
                    </w:rPr>
                  </w:pPr>
                  <w:r>
                    <w:rPr>
                      <w:rFonts w:hint="eastAsia"/>
                      <w:szCs w:val="21"/>
                    </w:rPr>
                    <w:t>大气</w:t>
                  </w:r>
                </w:p>
              </w:tc>
              <w:tc>
                <w:tcPr>
                  <w:tcW w:w="2171" w:type="pct"/>
                  <w:vAlign w:val="center"/>
                </w:tcPr>
                <w:p w14:paraId="375CF968">
                  <w:pPr>
                    <w:jc w:val="left"/>
                    <w:rPr>
                      <w:szCs w:val="21"/>
                    </w:rPr>
                  </w:pPr>
                  <w:r>
                    <w:rPr>
                      <w:szCs w:val="21"/>
                    </w:rPr>
                    <w:t>排放废气含有毒有害污染物</w:t>
                  </w:r>
                  <w:r>
                    <w:rPr>
                      <w:szCs w:val="21"/>
                      <w:vertAlign w:val="superscript"/>
                    </w:rPr>
                    <w:t>1</w:t>
                  </w:r>
                  <w:r>
                    <w:rPr>
                      <w:szCs w:val="21"/>
                    </w:rPr>
                    <w:t>、二噁英、苯并[a]芘、氰化物、氯气且厂界外500米范围内有环境空气保护目标</w:t>
                  </w:r>
                  <w:r>
                    <w:rPr>
                      <w:szCs w:val="21"/>
                      <w:vertAlign w:val="superscript"/>
                    </w:rPr>
                    <w:t>2</w:t>
                  </w:r>
                  <w:r>
                    <w:rPr>
                      <w:szCs w:val="21"/>
                    </w:rPr>
                    <w:t>的建设项目</w:t>
                  </w:r>
                </w:p>
              </w:tc>
              <w:tc>
                <w:tcPr>
                  <w:tcW w:w="1516" w:type="pct"/>
                  <w:vAlign w:val="center"/>
                </w:tcPr>
                <w:p w14:paraId="2F8C26E9">
                  <w:pPr>
                    <w:jc w:val="center"/>
                    <w:rPr>
                      <w:szCs w:val="21"/>
                    </w:rPr>
                  </w:pPr>
                  <w:r>
                    <w:rPr>
                      <w:rFonts w:hint="eastAsia"/>
                      <w:szCs w:val="21"/>
                    </w:rPr>
                    <w:t>本项目排放废气不涉及</w:t>
                  </w:r>
                  <w:r>
                    <w:rPr>
                      <w:szCs w:val="21"/>
                    </w:rPr>
                    <w:t>有毒有害污染物</w:t>
                  </w:r>
                  <w:r>
                    <w:rPr>
                      <w:szCs w:val="21"/>
                      <w:vertAlign w:val="superscript"/>
                    </w:rPr>
                    <w:t>1</w:t>
                  </w:r>
                  <w:r>
                    <w:rPr>
                      <w:szCs w:val="21"/>
                    </w:rPr>
                    <w:t>、二噁英、苯并[a]芘、氰化物、氯气</w:t>
                  </w:r>
                </w:p>
              </w:tc>
              <w:tc>
                <w:tcPr>
                  <w:tcW w:w="691" w:type="pct"/>
                  <w:vAlign w:val="center"/>
                </w:tcPr>
                <w:p w14:paraId="3A427D59">
                  <w:pPr>
                    <w:jc w:val="center"/>
                    <w:rPr>
                      <w:szCs w:val="21"/>
                    </w:rPr>
                  </w:pPr>
                  <w:r>
                    <w:rPr>
                      <w:rFonts w:hint="eastAsia"/>
                      <w:szCs w:val="21"/>
                    </w:rPr>
                    <w:t>否</w:t>
                  </w:r>
                </w:p>
              </w:tc>
            </w:tr>
            <w:tr w14:paraId="1549B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20" w:type="pct"/>
                  <w:vAlign w:val="center"/>
                </w:tcPr>
                <w:p w14:paraId="79BBA609">
                  <w:pPr>
                    <w:jc w:val="center"/>
                    <w:rPr>
                      <w:szCs w:val="21"/>
                    </w:rPr>
                  </w:pPr>
                  <w:r>
                    <w:rPr>
                      <w:rFonts w:hint="eastAsia"/>
                      <w:szCs w:val="21"/>
                    </w:rPr>
                    <w:t>地表水</w:t>
                  </w:r>
                </w:p>
              </w:tc>
              <w:tc>
                <w:tcPr>
                  <w:tcW w:w="2171" w:type="pct"/>
                  <w:vAlign w:val="center"/>
                </w:tcPr>
                <w:p w14:paraId="14A24D72">
                  <w:pPr>
                    <w:jc w:val="left"/>
                    <w:rPr>
                      <w:szCs w:val="21"/>
                    </w:rPr>
                  </w:pPr>
                  <w:r>
                    <w:rPr>
                      <w:szCs w:val="21"/>
                    </w:rPr>
                    <w:t>新增工业废水直排建设项目（槽罐车外送污水处理厂的除外）；新增废水直排的污水集中处理厂</w:t>
                  </w:r>
                </w:p>
              </w:tc>
              <w:tc>
                <w:tcPr>
                  <w:tcW w:w="1516" w:type="pct"/>
                  <w:vAlign w:val="center"/>
                </w:tcPr>
                <w:p w14:paraId="3A739724">
                  <w:pPr>
                    <w:jc w:val="center"/>
                    <w:rPr>
                      <w:szCs w:val="21"/>
                    </w:rPr>
                  </w:pPr>
                  <w:r>
                    <w:rPr>
                      <w:rFonts w:hint="eastAsia"/>
                      <w:szCs w:val="21"/>
                    </w:rPr>
                    <w:t>本项目属于新增废水直排的污水集中处理厂建设项目</w:t>
                  </w:r>
                </w:p>
              </w:tc>
              <w:tc>
                <w:tcPr>
                  <w:tcW w:w="691" w:type="pct"/>
                  <w:vAlign w:val="center"/>
                </w:tcPr>
                <w:p w14:paraId="7904409C">
                  <w:pPr>
                    <w:jc w:val="center"/>
                    <w:rPr>
                      <w:szCs w:val="21"/>
                    </w:rPr>
                  </w:pPr>
                  <w:r>
                    <w:rPr>
                      <w:rFonts w:hint="eastAsia"/>
                      <w:szCs w:val="21"/>
                    </w:rPr>
                    <w:t>是</w:t>
                  </w:r>
                </w:p>
              </w:tc>
            </w:tr>
            <w:tr w14:paraId="18F68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0" w:hRule="atLeast"/>
                <w:jc w:val="center"/>
              </w:trPr>
              <w:tc>
                <w:tcPr>
                  <w:tcW w:w="620" w:type="pct"/>
                  <w:vAlign w:val="center"/>
                </w:tcPr>
                <w:p w14:paraId="539A5BB9">
                  <w:pPr>
                    <w:jc w:val="center"/>
                    <w:rPr>
                      <w:szCs w:val="21"/>
                    </w:rPr>
                  </w:pPr>
                  <w:r>
                    <w:rPr>
                      <w:rFonts w:hint="eastAsia"/>
                      <w:szCs w:val="21"/>
                    </w:rPr>
                    <w:t>环境风险</w:t>
                  </w:r>
                </w:p>
              </w:tc>
              <w:tc>
                <w:tcPr>
                  <w:tcW w:w="2171" w:type="pct"/>
                  <w:vAlign w:val="center"/>
                </w:tcPr>
                <w:p w14:paraId="1F310066">
                  <w:pPr>
                    <w:jc w:val="left"/>
                    <w:rPr>
                      <w:szCs w:val="21"/>
                    </w:rPr>
                  </w:pPr>
                  <w:r>
                    <w:rPr>
                      <w:szCs w:val="21"/>
                    </w:rPr>
                    <w:t>有毒有害和易燃易爆危险物质存储量超过临界量</w:t>
                  </w:r>
                  <w:r>
                    <w:rPr>
                      <w:szCs w:val="21"/>
                      <w:vertAlign w:val="superscript"/>
                    </w:rPr>
                    <w:t>3</w:t>
                  </w:r>
                  <w:r>
                    <w:rPr>
                      <w:szCs w:val="21"/>
                    </w:rPr>
                    <w:t>的建设项目</w:t>
                  </w:r>
                </w:p>
              </w:tc>
              <w:tc>
                <w:tcPr>
                  <w:tcW w:w="1516" w:type="pct"/>
                  <w:vAlign w:val="center"/>
                </w:tcPr>
                <w:p w14:paraId="050FBA26">
                  <w:pPr>
                    <w:jc w:val="center"/>
                    <w:rPr>
                      <w:szCs w:val="21"/>
                    </w:rPr>
                  </w:pPr>
                  <w:r>
                    <w:rPr>
                      <w:rFonts w:hint="eastAsia"/>
                      <w:szCs w:val="21"/>
                    </w:rPr>
                    <w:t>本项目</w:t>
                  </w:r>
                  <w:r>
                    <w:rPr>
                      <w:szCs w:val="21"/>
                    </w:rPr>
                    <w:t>有毒有害和易燃易爆危险物质存储量</w:t>
                  </w:r>
                  <w:r>
                    <w:rPr>
                      <w:rFonts w:hint="eastAsia"/>
                      <w:szCs w:val="21"/>
                    </w:rPr>
                    <w:t>未</w:t>
                  </w:r>
                  <w:r>
                    <w:rPr>
                      <w:szCs w:val="21"/>
                    </w:rPr>
                    <w:t>超过临界量</w:t>
                  </w:r>
                </w:p>
              </w:tc>
              <w:tc>
                <w:tcPr>
                  <w:tcW w:w="691" w:type="pct"/>
                  <w:vAlign w:val="center"/>
                </w:tcPr>
                <w:p w14:paraId="3DFCE276">
                  <w:pPr>
                    <w:jc w:val="center"/>
                    <w:rPr>
                      <w:szCs w:val="21"/>
                    </w:rPr>
                  </w:pPr>
                  <w:r>
                    <w:rPr>
                      <w:rFonts w:hint="eastAsia"/>
                      <w:szCs w:val="21"/>
                    </w:rPr>
                    <w:t>否</w:t>
                  </w:r>
                </w:p>
              </w:tc>
            </w:tr>
            <w:tr w14:paraId="0E54A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2" w:hRule="atLeast"/>
                <w:jc w:val="center"/>
              </w:trPr>
              <w:tc>
                <w:tcPr>
                  <w:tcW w:w="620" w:type="pct"/>
                  <w:vAlign w:val="center"/>
                </w:tcPr>
                <w:p w14:paraId="1EE79FEE">
                  <w:pPr>
                    <w:jc w:val="center"/>
                    <w:rPr>
                      <w:szCs w:val="21"/>
                    </w:rPr>
                  </w:pPr>
                  <w:r>
                    <w:rPr>
                      <w:rFonts w:hint="eastAsia"/>
                      <w:szCs w:val="21"/>
                    </w:rPr>
                    <w:t>生态</w:t>
                  </w:r>
                </w:p>
              </w:tc>
              <w:tc>
                <w:tcPr>
                  <w:tcW w:w="2171" w:type="pct"/>
                  <w:vAlign w:val="center"/>
                </w:tcPr>
                <w:p w14:paraId="63E9DCCC">
                  <w:pPr>
                    <w:jc w:val="left"/>
                    <w:rPr>
                      <w:szCs w:val="21"/>
                    </w:rPr>
                  </w:pPr>
                  <w:r>
                    <w:rPr>
                      <w:szCs w:val="21"/>
                    </w:rPr>
                    <w:t>取水口下游500米范围内有重要水生生物的自然产卵场、索饵场、越冬场和洄游通道的新增河道取水的污染类建设项目</w:t>
                  </w:r>
                </w:p>
              </w:tc>
              <w:tc>
                <w:tcPr>
                  <w:tcW w:w="1516" w:type="pct"/>
                  <w:vAlign w:val="center"/>
                </w:tcPr>
                <w:p w14:paraId="4A67C385">
                  <w:pPr>
                    <w:jc w:val="center"/>
                    <w:rPr>
                      <w:szCs w:val="21"/>
                    </w:rPr>
                  </w:pPr>
                  <w:r>
                    <w:rPr>
                      <w:rFonts w:hint="eastAsia"/>
                      <w:szCs w:val="21"/>
                    </w:rPr>
                    <w:t>本项目未设置取水口</w:t>
                  </w:r>
                </w:p>
              </w:tc>
              <w:tc>
                <w:tcPr>
                  <w:tcW w:w="691" w:type="pct"/>
                  <w:vAlign w:val="center"/>
                </w:tcPr>
                <w:p w14:paraId="6C3D5705">
                  <w:pPr>
                    <w:pStyle w:val="38"/>
                  </w:pPr>
                  <w:r>
                    <w:rPr>
                      <w:rFonts w:hint="eastAsia"/>
                    </w:rPr>
                    <w:t>否</w:t>
                  </w:r>
                </w:p>
              </w:tc>
            </w:tr>
            <w:tr w14:paraId="75D68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20" w:type="pct"/>
                  <w:vAlign w:val="center"/>
                </w:tcPr>
                <w:p w14:paraId="4DBE10D2">
                  <w:pPr>
                    <w:jc w:val="center"/>
                    <w:rPr>
                      <w:szCs w:val="21"/>
                    </w:rPr>
                  </w:pPr>
                  <w:r>
                    <w:rPr>
                      <w:rFonts w:hint="eastAsia"/>
                      <w:szCs w:val="21"/>
                    </w:rPr>
                    <w:t>海洋</w:t>
                  </w:r>
                </w:p>
              </w:tc>
              <w:tc>
                <w:tcPr>
                  <w:tcW w:w="2171" w:type="pct"/>
                  <w:vAlign w:val="center"/>
                </w:tcPr>
                <w:p w14:paraId="4883F608">
                  <w:pPr>
                    <w:jc w:val="left"/>
                    <w:rPr>
                      <w:szCs w:val="21"/>
                    </w:rPr>
                  </w:pPr>
                  <w:r>
                    <w:rPr>
                      <w:szCs w:val="21"/>
                    </w:rPr>
                    <w:t>直接向海排放污染物的海洋工程建设项目</w:t>
                  </w:r>
                </w:p>
              </w:tc>
              <w:tc>
                <w:tcPr>
                  <w:tcW w:w="1516" w:type="pct"/>
                  <w:vAlign w:val="center"/>
                </w:tcPr>
                <w:p w14:paraId="6A81BCFC">
                  <w:pPr>
                    <w:jc w:val="center"/>
                    <w:rPr>
                      <w:szCs w:val="21"/>
                    </w:rPr>
                  </w:pPr>
                  <w:r>
                    <w:rPr>
                      <w:rFonts w:hint="eastAsia"/>
                      <w:szCs w:val="21"/>
                    </w:rPr>
                    <w:t>本项目非海洋工程建设项目</w:t>
                  </w:r>
                </w:p>
              </w:tc>
              <w:tc>
                <w:tcPr>
                  <w:tcW w:w="691" w:type="pct"/>
                  <w:vAlign w:val="center"/>
                </w:tcPr>
                <w:p w14:paraId="0697B8C1">
                  <w:pPr>
                    <w:pStyle w:val="38"/>
                  </w:pPr>
                  <w:r>
                    <w:rPr>
                      <w:rFonts w:hint="eastAsia"/>
                    </w:rPr>
                    <w:t>否</w:t>
                  </w:r>
                </w:p>
              </w:tc>
            </w:tr>
          </w:tbl>
          <w:p w14:paraId="34E25966">
            <w:pPr>
              <w:adjustRightInd w:val="0"/>
              <w:snapToGrid w:val="0"/>
              <w:jc w:val="left"/>
            </w:pPr>
            <w:r>
              <w:t>注：1.废气中有毒有害污染物</w:t>
            </w:r>
            <w:r>
              <w:rPr>
                <w:rFonts w:hint="eastAsia"/>
              </w:rPr>
              <w:t>是</w:t>
            </w:r>
            <w:r>
              <w:t>指纳入《有毒有害大气污染物名录》的污染物（不包括无排放标准的污染物）。</w:t>
            </w:r>
          </w:p>
          <w:p w14:paraId="5B97197E">
            <w:pPr>
              <w:adjustRightInd w:val="0"/>
              <w:snapToGrid w:val="0"/>
              <w:jc w:val="left"/>
            </w:pPr>
            <w:r>
              <w:t>2.环境空气保护目标指自然保护区、风景名胜区、居住区、文化区和农村地区中人群较集中的区域。</w:t>
            </w:r>
          </w:p>
          <w:p w14:paraId="170E4673">
            <w:pPr>
              <w:adjustRightInd w:val="0"/>
              <w:snapToGrid w:val="0"/>
              <w:jc w:val="left"/>
              <w:rPr>
                <w:sz w:val="24"/>
              </w:rPr>
            </w:pPr>
            <w:r>
              <w:t>3.临界量及其计算方法可参考《建设项目环境风险评价技术导则》（HJ169）</w:t>
            </w:r>
            <w:r>
              <w:rPr>
                <w:rFonts w:hint="eastAsia"/>
              </w:rPr>
              <w:t>附录B附录C</w:t>
            </w:r>
            <w:r>
              <w:t>。</w:t>
            </w:r>
          </w:p>
        </w:tc>
      </w:tr>
      <w:tr w14:paraId="76634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49" w:type="dxa"/>
            <w:vAlign w:val="center"/>
          </w:tcPr>
          <w:p w14:paraId="7B79CD63">
            <w:pPr>
              <w:autoSpaceDE w:val="0"/>
              <w:autoSpaceDN w:val="0"/>
              <w:adjustRightInd w:val="0"/>
              <w:snapToGrid w:val="0"/>
              <w:jc w:val="center"/>
              <w:rPr>
                <w:kern w:val="0"/>
                <w:szCs w:val="21"/>
              </w:rPr>
            </w:pPr>
            <w:r>
              <w:rPr>
                <w:szCs w:val="21"/>
              </w:rPr>
              <w:t>规划情况</w:t>
            </w:r>
          </w:p>
        </w:tc>
        <w:tc>
          <w:tcPr>
            <w:tcW w:w="7644" w:type="dxa"/>
            <w:gridSpan w:val="3"/>
            <w:vAlign w:val="center"/>
          </w:tcPr>
          <w:p w14:paraId="40C32927">
            <w:pPr>
              <w:autoSpaceDE w:val="0"/>
              <w:autoSpaceDN w:val="0"/>
              <w:adjustRightInd w:val="0"/>
              <w:snapToGrid w:val="0"/>
              <w:spacing w:before="120" w:beforeLines="50" w:line="360" w:lineRule="auto"/>
              <w:rPr>
                <w:rFonts w:hint="eastAsia" w:eastAsia="宋体"/>
                <w:lang w:eastAsia="zh-CN"/>
              </w:rPr>
            </w:pPr>
            <w:r>
              <w:rPr>
                <w:rFonts w:hint="eastAsia"/>
                <w:kern w:val="0"/>
                <w:sz w:val="24"/>
                <w:lang w:val="en-US" w:eastAsia="zh-CN"/>
              </w:rPr>
              <w:t>无</w:t>
            </w:r>
          </w:p>
        </w:tc>
      </w:tr>
      <w:tr w14:paraId="5A29A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49" w:type="dxa"/>
            <w:vAlign w:val="center"/>
          </w:tcPr>
          <w:p w14:paraId="1D451D40">
            <w:pPr>
              <w:adjustRightInd w:val="0"/>
              <w:snapToGrid w:val="0"/>
              <w:jc w:val="center"/>
              <w:rPr>
                <w:kern w:val="0"/>
                <w:szCs w:val="21"/>
              </w:rPr>
            </w:pPr>
            <w:r>
              <w:rPr>
                <w:szCs w:val="21"/>
              </w:rPr>
              <w:t>规划环境影响评价情况</w:t>
            </w:r>
          </w:p>
        </w:tc>
        <w:tc>
          <w:tcPr>
            <w:tcW w:w="7644" w:type="dxa"/>
            <w:gridSpan w:val="3"/>
            <w:vAlign w:val="center"/>
          </w:tcPr>
          <w:p w14:paraId="0D1590FD">
            <w:pPr>
              <w:autoSpaceDE w:val="0"/>
              <w:autoSpaceDN w:val="0"/>
              <w:adjustRightInd w:val="0"/>
              <w:snapToGrid w:val="0"/>
              <w:spacing w:line="360" w:lineRule="auto"/>
              <w:jc w:val="left"/>
            </w:pPr>
            <w:r>
              <w:rPr>
                <w:rFonts w:hint="eastAsia"/>
                <w:kern w:val="0"/>
                <w:sz w:val="24"/>
                <w:lang w:val="en-US" w:eastAsia="zh-CN"/>
              </w:rPr>
              <w:t>无</w:t>
            </w:r>
          </w:p>
        </w:tc>
      </w:tr>
      <w:tr w14:paraId="4303D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49" w:type="dxa"/>
            <w:vAlign w:val="center"/>
          </w:tcPr>
          <w:p w14:paraId="69895CE5">
            <w:pPr>
              <w:autoSpaceDE w:val="0"/>
              <w:autoSpaceDN w:val="0"/>
              <w:adjustRightInd w:val="0"/>
              <w:snapToGrid w:val="0"/>
              <w:jc w:val="center"/>
              <w:rPr>
                <w:kern w:val="0"/>
                <w:szCs w:val="21"/>
              </w:rPr>
            </w:pPr>
            <w:r>
              <w:rPr>
                <w:kern w:val="0"/>
                <w:szCs w:val="21"/>
              </w:rPr>
              <w:t>规划及规划环境影响评价符合性分析</w:t>
            </w:r>
          </w:p>
        </w:tc>
        <w:tc>
          <w:tcPr>
            <w:tcW w:w="7644" w:type="dxa"/>
            <w:gridSpan w:val="3"/>
            <w:vAlign w:val="center"/>
          </w:tcPr>
          <w:p w14:paraId="5F8878D2">
            <w:pPr>
              <w:pStyle w:val="36"/>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rPr>
            </w:pPr>
            <w:r>
              <w:rPr>
                <w:rFonts w:hint="eastAsia" w:ascii="Times New Roman" w:hAnsi="Times New Roman" w:eastAsia="宋体" w:cs="Times New Roman"/>
                <w:kern w:val="0"/>
                <w:sz w:val="24"/>
                <w:szCs w:val="24"/>
                <w:lang w:val="en-US" w:eastAsia="zh-CN" w:bidi="ar-SA"/>
              </w:rPr>
              <w:t>无</w:t>
            </w:r>
          </w:p>
        </w:tc>
      </w:tr>
      <w:tr w14:paraId="5D881E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49" w:type="dxa"/>
            <w:vAlign w:val="center"/>
          </w:tcPr>
          <w:p w14:paraId="3C0CE901">
            <w:pPr>
              <w:autoSpaceDE w:val="0"/>
              <w:autoSpaceDN w:val="0"/>
              <w:adjustRightInd w:val="0"/>
              <w:snapToGrid w:val="0"/>
              <w:jc w:val="center"/>
              <w:rPr>
                <w:kern w:val="0"/>
                <w:szCs w:val="21"/>
              </w:rPr>
            </w:pPr>
            <w:r>
              <w:rPr>
                <w:kern w:val="0"/>
                <w:szCs w:val="21"/>
              </w:rPr>
              <w:t>其他符合性分析</w:t>
            </w:r>
          </w:p>
        </w:tc>
        <w:tc>
          <w:tcPr>
            <w:tcW w:w="7644" w:type="dxa"/>
            <w:gridSpan w:val="3"/>
            <w:vAlign w:val="center"/>
          </w:tcPr>
          <w:p w14:paraId="6FB1BF78">
            <w:pPr>
              <w:pStyle w:val="36"/>
              <w:ind w:firstLine="482"/>
              <w:rPr>
                <w:rFonts w:hint="default"/>
                <w:b/>
                <w:bCs/>
              </w:rPr>
            </w:pPr>
            <w:r>
              <w:rPr>
                <w:b/>
                <w:bCs/>
              </w:rPr>
              <w:t>1、产业政策及选址用地相符性分析</w:t>
            </w:r>
          </w:p>
          <w:p w14:paraId="5EC57D6E">
            <w:pPr>
              <w:pStyle w:val="36"/>
              <w:ind w:firstLine="480"/>
              <w:rPr>
                <w:rFonts w:hint="default"/>
              </w:rPr>
            </w:pPr>
            <w:r>
              <w:t>（1）产业政策符合性分析</w:t>
            </w:r>
          </w:p>
          <w:p w14:paraId="4443C89D">
            <w:pPr>
              <w:pStyle w:val="36"/>
              <w:ind w:firstLine="480"/>
              <w:rPr>
                <w:rFonts w:hint="default"/>
              </w:rPr>
            </w:pPr>
            <w:r>
              <w:t>本项目属于污水处理及其再生利用项目，根据《产业结构调整指导目录（2024年本）》，本项目属于“鼓励类、四十二环境保护与资源节约综合利用：3、城镇污水垃圾处理：高效、低能耗污水处理与再生技术开发，城镇垃圾、农村生活垃圾、城镇生活污水、农村生活污水、污泥及其他固体废弃物减量化、资源化、无害化处理和综合利用工程，餐厨废弃物资源化利用技术开发及设施建设，垃圾分类技术、设备、设施，城镇、农村分布式小型化有机垃圾处理技术开发，污水处理厂污泥协同处置工程”，即本项目为“鼓励类”项目，不属于限制类和淘汰类之列，本项目符合国家产业政策。</w:t>
            </w:r>
          </w:p>
          <w:p w14:paraId="55FE0F5B">
            <w:pPr>
              <w:pStyle w:val="36"/>
              <w:ind w:firstLine="480"/>
              <w:rPr>
                <w:rFonts w:hint="default"/>
              </w:rPr>
            </w:pPr>
            <w:r>
              <w:t>（2）选址用地符合性分析</w:t>
            </w:r>
          </w:p>
          <w:p w14:paraId="343A57C1">
            <w:pPr>
              <w:pStyle w:val="36"/>
              <w:ind w:firstLine="480"/>
              <w:rPr>
                <w:rFonts w:hint="default"/>
                <w:b/>
              </w:rPr>
            </w:pPr>
            <w:r>
              <w:t>根据《限制用地项目目录（2012年本）》和《禁止用地项目目录（2012年本）的通知》（国土资发〔2012〕98号）的相关要求，本项目不属限制及禁止用地项目的范畴，即本项目选址用地符合国家土地供应政策。</w:t>
            </w:r>
          </w:p>
          <w:p w14:paraId="0049F6E0">
            <w:pPr>
              <w:spacing w:line="360" w:lineRule="auto"/>
              <w:ind w:firstLine="482" w:firstLineChars="200"/>
              <w:jc w:val="left"/>
              <w:rPr>
                <w:b/>
                <w:sz w:val="24"/>
              </w:rPr>
            </w:pPr>
            <w:r>
              <w:rPr>
                <w:rFonts w:hint="eastAsia"/>
                <w:b/>
                <w:sz w:val="24"/>
              </w:rPr>
              <w:t>2</w:t>
            </w:r>
            <w:r>
              <w:rPr>
                <w:b/>
                <w:sz w:val="24"/>
              </w:rPr>
              <w:t>、“三线一单”相符性分析</w:t>
            </w:r>
          </w:p>
          <w:p w14:paraId="1BC1398F">
            <w:pPr>
              <w:spacing w:line="360" w:lineRule="auto"/>
              <w:ind w:firstLine="480" w:firstLineChars="200"/>
              <w:rPr>
                <w:sz w:val="24"/>
              </w:rPr>
            </w:pPr>
            <w:r>
              <w:rPr>
                <w:sz w:val="24"/>
              </w:rPr>
              <w:t>（1）生态保护红线</w:t>
            </w:r>
          </w:p>
          <w:p w14:paraId="65F6211D">
            <w:pPr>
              <w:spacing w:line="360" w:lineRule="auto"/>
              <w:ind w:firstLine="480" w:firstLineChars="200"/>
              <w:rPr>
                <w:sz w:val="24"/>
              </w:rPr>
            </w:pPr>
            <w:r>
              <w:rPr>
                <w:sz w:val="24"/>
              </w:rPr>
              <w:t>根据《江西省人民政府关于发布江西省生态保护红线的通知》（赣府发</w:t>
            </w:r>
            <w:r>
              <w:rPr>
                <w:rFonts w:hint="eastAsia"/>
                <w:sz w:val="24"/>
              </w:rPr>
              <w:t>〔</w:t>
            </w:r>
            <w:r>
              <w:rPr>
                <w:sz w:val="24"/>
              </w:rPr>
              <w:t>2018</w:t>
            </w:r>
            <w:r>
              <w:rPr>
                <w:rFonts w:hint="eastAsia"/>
                <w:sz w:val="24"/>
              </w:rPr>
              <w:t>〕</w:t>
            </w:r>
            <w:r>
              <w:rPr>
                <w:sz w:val="24"/>
              </w:rPr>
              <w:t>21号）中的附件“江西省生态保护红线分布图”，项目</w:t>
            </w:r>
            <w:r>
              <w:rPr>
                <w:rFonts w:hint="eastAsia"/>
                <w:sz w:val="24"/>
              </w:rPr>
              <w:t>拟建地不涉及</w:t>
            </w:r>
            <w:r>
              <w:rPr>
                <w:sz w:val="24"/>
              </w:rPr>
              <w:t>自然保护区、风景名胜区、饮用水水源地保护区、国家公益林等需要特殊保护的环境敏感区，项目不在生态保护红线范围内，符合生态保护红线要求。</w:t>
            </w:r>
          </w:p>
          <w:p w14:paraId="6DDBD1FA">
            <w:pPr>
              <w:spacing w:line="360" w:lineRule="auto"/>
              <w:ind w:firstLine="480" w:firstLineChars="200"/>
              <w:rPr>
                <w:sz w:val="24"/>
              </w:rPr>
            </w:pPr>
            <w:r>
              <w:rPr>
                <w:sz w:val="24"/>
              </w:rPr>
              <w:t>（2）环境质量底线</w:t>
            </w:r>
          </w:p>
          <w:p w14:paraId="3E607C97">
            <w:pPr>
              <w:spacing w:line="360" w:lineRule="auto"/>
              <w:ind w:firstLine="480" w:firstLineChars="200"/>
              <w:rPr>
                <w:sz w:val="24"/>
              </w:rPr>
            </w:pPr>
            <w:r>
              <w:rPr>
                <w:sz w:val="24"/>
              </w:rPr>
              <w:t>根据《长江经济带战略环境评价江西省“三线一单”研究报告</w:t>
            </w:r>
            <w:r>
              <w:rPr>
                <w:rFonts w:hint="eastAsia"/>
                <w:sz w:val="24"/>
              </w:rPr>
              <w:t>》《</w:t>
            </w:r>
            <w:r>
              <w:rPr>
                <w:sz w:val="24"/>
              </w:rPr>
              <w:t>长江经济带战略环境评价江西省赣州市“三线一单”划定技术报告》，</w:t>
            </w:r>
            <w:r>
              <w:rPr>
                <w:rFonts w:hint="eastAsia"/>
                <w:sz w:val="24"/>
                <w:lang w:val="en-US" w:eastAsia="zh-CN"/>
              </w:rPr>
              <w:t>宁都县</w:t>
            </w:r>
            <w:r>
              <w:rPr>
                <w:sz w:val="24"/>
              </w:rPr>
              <w:t>大气环境质量</w:t>
            </w:r>
            <w:r>
              <w:rPr>
                <w:rFonts w:hint="eastAsia"/>
                <w:sz w:val="24"/>
              </w:rPr>
              <w:t>底线</w:t>
            </w:r>
            <w:r>
              <w:rPr>
                <w:sz w:val="24"/>
              </w:rPr>
              <w:t>、水环境质量</w:t>
            </w:r>
            <w:r>
              <w:rPr>
                <w:rFonts w:hint="eastAsia"/>
                <w:sz w:val="24"/>
              </w:rPr>
              <w:t>底线目标如下：</w:t>
            </w:r>
          </w:p>
          <w:p w14:paraId="12E5FA09">
            <w:pPr>
              <w:pStyle w:val="52"/>
            </w:pPr>
            <w:r>
              <w:t>环境质量底线目标</w:t>
            </w:r>
          </w:p>
          <w:tbl>
            <w:tblPr>
              <w:tblStyle w:val="28"/>
              <w:tblW w:w="47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55"/>
              <w:gridCol w:w="1096"/>
              <w:gridCol w:w="1620"/>
              <w:gridCol w:w="1195"/>
              <w:gridCol w:w="1420"/>
            </w:tblGrid>
            <w:tr w14:paraId="551A9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154" w:type="pct"/>
                  <w:gridSpan w:val="3"/>
                  <w:tcBorders>
                    <w:tl2br w:val="nil"/>
                    <w:tr2bl w:val="nil"/>
                  </w:tcBorders>
                  <w:vAlign w:val="center"/>
                </w:tcPr>
                <w:p w14:paraId="22BE442E">
                  <w:pPr>
                    <w:pStyle w:val="38"/>
                    <w:rPr>
                      <w:b/>
                      <w:bCs/>
                    </w:rPr>
                  </w:pPr>
                  <w:r>
                    <w:rPr>
                      <w:b/>
                      <w:bCs/>
                    </w:rPr>
                    <w:t>环境质量底线要求</w:t>
                  </w:r>
                </w:p>
              </w:tc>
              <w:tc>
                <w:tcPr>
                  <w:tcW w:w="843" w:type="pct"/>
                  <w:tcBorders>
                    <w:tl2br w:val="nil"/>
                    <w:tr2bl w:val="nil"/>
                  </w:tcBorders>
                  <w:vAlign w:val="center"/>
                </w:tcPr>
                <w:p w14:paraId="3C398EE5">
                  <w:pPr>
                    <w:pStyle w:val="38"/>
                    <w:rPr>
                      <w:b/>
                      <w:bCs/>
                    </w:rPr>
                  </w:pPr>
                  <w:r>
                    <w:rPr>
                      <w:b/>
                      <w:bCs/>
                    </w:rPr>
                    <w:t>2025年</w:t>
                  </w:r>
                </w:p>
              </w:tc>
              <w:tc>
                <w:tcPr>
                  <w:tcW w:w="1001" w:type="pct"/>
                  <w:tcBorders>
                    <w:tl2br w:val="nil"/>
                    <w:tr2bl w:val="nil"/>
                  </w:tcBorders>
                  <w:vAlign w:val="center"/>
                </w:tcPr>
                <w:p w14:paraId="7D86AEE4">
                  <w:pPr>
                    <w:pStyle w:val="38"/>
                    <w:rPr>
                      <w:b/>
                      <w:bCs/>
                    </w:rPr>
                  </w:pPr>
                  <w:r>
                    <w:rPr>
                      <w:b/>
                      <w:bCs/>
                    </w:rPr>
                    <w:t>2035年</w:t>
                  </w:r>
                </w:p>
              </w:tc>
            </w:tr>
            <w:tr w14:paraId="782B4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238" w:type="pct"/>
                  <w:vMerge w:val="restart"/>
                  <w:tcBorders>
                    <w:tl2br w:val="nil"/>
                    <w:tr2bl w:val="nil"/>
                  </w:tcBorders>
                  <w:vAlign w:val="center"/>
                </w:tcPr>
                <w:p w14:paraId="1BC2CDEC">
                  <w:pPr>
                    <w:pStyle w:val="38"/>
                  </w:pPr>
                  <w:r>
                    <w:t>大气环境质量底线</w:t>
                  </w:r>
                </w:p>
              </w:tc>
              <w:tc>
                <w:tcPr>
                  <w:tcW w:w="1916" w:type="pct"/>
                  <w:gridSpan w:val="2"/>
                  <w:tcBorders>
                    <w:tl2br w:val="nil"/>
                    <w:tr2bl w:val="nil"/>
                  </w:tcBorders>
                  <w:vAlign w:val="center"/>
                </w:tcPr>
                <w:p w14:paraId="50F5949E">
                  <w:pPr>
                    <w:pStyle w:val="38"/>
                  </w:pPr>
                  <w:r>
                    <w:t>P</w:t>
                  </w:r>
                  <w:r>
                    <w:rPr>
                      <w:rFonts w:hint="eastAsia"/>
                    </w:rPr>
                    <w:t>M</w:t>
                  </w:r>
                  <w:r>
                    <w:rPr>
                      <w:rFonts w:hint="eastAsia"/>
                      <w:vertAlign w:val="subscript"/>
                    </w:rPr>
                    <w:t>2.5</w:t>
                  </w:r>
                  <w:r>
                    <w:t>浓度目标（μg/m</w:t>
                  </w:r>
                  <w:r>
                    <w:rPr>
                      <w:vertAlign w:val="superscript"/>
                    </w:rPr>
                    <w:t>3</w:t>
                  </w:r>
                  <w:r>
                    <w:t>）</w:t>
                  </w:r>
                </w:p>
              </w:tc>
              <w:tc>
                <w:tcPr>
                  <w:tcW w:w="843" w:type="pct"/>
                  <w:tcBorders>
                    <w:tl2br w:val="nil"/>
                    <w:tr2bl w:val="nil"/>
                  </w:tcBorders>
                  <w:vAlign w:val="center"/>
                </w:tcPr>
                <w:p w14:paraId="7940D6DD">
                  <w:pPr>
                    <w:pStyle w:val="38"/>
                  </w:pPr>
                  <w:r>
                    <w:t>35</w:t>
                  </w:r>
                </w:p>
              </w:tc>
              <w:tc>
                <w:tcPr>
                  <w:tcW w:w="1001" w:type="pct"/>
                  <w:tcBorders>
                    <w:tl2br w:val="nil"/>
                    <w:tr2bl w:val="nil"/>
                  </w:tcBorders>
                  <w:vAlign w:val="center"/>
                </w:tcPr>
                <w:p w14:paraId="5CD0692D">
                  <w:pPr>
                    <w:pStyle w:val="38"/>
                  </w:pPr>
                  <w:r>
                    <w:t>≤35</w:t>
                  </w:r>
                </w:p>
              </w:tc>
            </w:tr>
            <w:tr w14:paraId="05E70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238" w:type="pct"/>
                  <w:vMerge w:val="continue"/>
                  <w:tcBorders>
                    <w:tl2br w:val="nil"/>
                    <w:tr2bl w:val="nil"/>
                  </w:tcBorders>
                  <w:vAlign w:val="center"/>
                </w:tcPr>
                <w:p w14:paraId="46202F84">
                  <w:pPr>
                    <w:pStyle w:val="38"/>
                  </w:pPr>
                </w:p>
              </w:tc>
              <w:tc>
                <w:tcPr>
                  <w:tcW w:w="773" w:type="pct"/>
                  <w:vMerge w:val="restart"/>
                  <w:tcBorders>
                    <w:tl2br w:val="nil"/>
                    <w:tr2bl w:val="nil"/>
                  </w:tcBorders>
                  <w:vAlign w:val="center"/>
                </w:tcPr>
                <w:p w14:paraId="4699CA55">
                  <w:pPr>
                    <w:pStyle w:val="38"/>
                  </w:pPr>
                  <w:r>
                    <w:t>大气污染物运行排放量（t/a）</w:t>
                  </w:r>
                </w:p>
              </w:tc>
              <w:tc>
                <w:tcPr>
                  <w:tcW w:w="1143" w:type="pct"/>
                  <w:tcBorders>
                    <w:tl2br w:val="nil"/>
                    <w:tr2bl w:val="nil"/>
                  </w:tcBorders>
                  <w:vAlign w:val="center"/>
                </w:tcPr>
                <w:p w14:paraId="0E36766E">
                  <w:pPr>
                    <w:pStyle w:val="38"/>
                  </w:pPr>
                  <w:r>
                    <w:t>SO</w:t>
                  </w:r>
                  <w:r>
                    <w:rPr>
                      <w:vertAlign w:val="subscript"/>
                    </w:rPr>
                    <w:t>2</w:t>
                  </w:r>
                </w:p>
              </w:tc>
              <w:tc>
                <w:tcPr>
                  <w:tcW w:w="843" w:type="pct"/>
                  <w:tcBorders>
                    <w:tl2br w:val="nil"/>
                    <w:tr2bl w:val="nil"/>
                  </w:tcBorders>
                  <w:vAlign w:val="center"/>
                </w:tcPr>
                <w:p w14:paraId="53A78BC3">
                  <w:pPr>
                    <w:pStyle w:val="38"/>
                  </w:pPr>
                  <w:r>
                    <w:rPr>
                      <w:rFonts w:hint="eastAsia"/>
                    </w:rPr>
                    <w:t>10253</w:t>
                  </w:r>
                </w:p>
              </w:tc>
              <w:tc>
                <w:tcPr>
                  <w:tcW w:w="1001" w:type="pct"/>
                  <w:tcBorders>
                    <w:tl2br w:val="nil"/>
                    <w:tr2bl w:val="nil"/>
                  </w:tcBorders>
                  <w:vAlign w:val="center"/>
                </w:tcPr>
                <w:p w14:paraId="4F158D75">
                  <w:pPr>
                    <w:pStyle w:val="38"/>
                  </w:pPr>
                  <w:r>
                    <w:rPr>
                      <w:rFonts w:hint="eastAsia"/>
                    </w:rPr>
                    <w:t>10253</w:t>
                  </w:r>
                </w:p>
              </w:tc>
            </w:tr>
            <w:tr w14:paraId="60836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238" w:type="pct"/>
                  <w:vMerge w:val="continue"/>
                  <w:tcBorders>
                    <w:tl2br w:val="nil"/>
                    <w:tr2bl w:val="nil"/>
                  </w:tcBorders>
                  <w:vAlign w:val="center"/>
                </w:tcPr>
                <w:p w14:paraId="46B0F91B">
                  <w:pPr>
                    <w:pStyle w:val="38"/>
                  </w:pPr>
                </w:p>
              </w:tc>
              <w:tc>
                <w:tcPr>
                  <w:tcW w:w="773" w:type="pct"/>
                  <w:vMerge w:val="continue"/>
                  <w:tcBorders>
                    <w:tl2br w:val="nil"/>
                    <w:tr2bl w:val="nil"/>
                  </w:tcBorders>
                  <w:vAlign w:val="center"/>
                </w:tcPr>
                <w:p w14:paraId="4231D8FE">
                  <w:pPr>
                    <w:pStyle w:val="38"/>
                  </w:pPr>
                </w:p>
              </w:tc>
              <w:tc>
                <w:tcPr>
                  <w:tcW w:w="1143" w:type="pct"/>
                  <w:tcBorders>
                    <w:tl2br w:val="nil"/>
                    <w:tr2bl w:val="nil"/>
                  </w:tcBorders>
                  <w:vAlign w:val="center"/>
                </w:tcPr>
                <w:p w14:paraId="3A5B60A6">
                  <w:pPr>
                    <w:pStyle w:val="38"/>
                  </w:pPr>
                  <w:r>
                    <w:t>NOx</w:t>
                  </w:r>
                </w:p>
              </w:tc>
              <w:tc>
                <w:tcPr>
                  <w:tcW w:w="843" w:type="pct"/>
                  <w:tcBorders>
                    <w:tl2br w:val="nil"/>
                    <w:tr2bl w:val="nil"/>
                  </w:tcBorders>
                  <w:vAlign w:val="center"/>
                </w:tcPr>
                <w:p w14:paraId="53346788">
                  <w:pPr>
                    <w:pStyle w:val="38"/>
                  </w:pPr>
                  <w:r>
                    <w:rPr>
                      <w:rFonts w:hint="eastAsia"/>
                    </w:rPr>
                    <w:t>9521</w:t>
                  </w:r>
                </w:p>
              </w:tc>
              <w:tc>
                <w:tcPr>
                  <w:tcW w:w="1001" w:type="pct"/>
                  <w:tcBorders>
                    <w:tl2br w:val="nil"/>
                    <w:tr2bl w:val="nil"/>
                  </w:tcBorders>
                  <w:vAlign w:val="center"/>
                </w:tcPr>
                <w:p w14:paraId="5916AC0B">
                  <w:pPr>
                    <w:pStyle w:val="38"/>
                  </w:pPr>
                  <w:r>
                    <w:rPr>
                      <w:rFonts w:hint="eastAsia"/>
                    </w:rPr>
                    <w:t>9521</w:t>
                  </w:r>
                </w:p>
              </w:tc>
            </w:tr>
            <w:tr w14:paraId="13E02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238" w:type="pct"/>
                  <w:vMerge w:val="continue"/>
                  <w:tcBorders>
                    <w:tl2br w:val="nil"/>
                    <w:tr2bl w:val="nil"/>
                  </w:tcBorders>
                  <w:vAlign w:val="center"/>
                </w:tcPr>
                <w:p w14:paraId="7460EE2F">
                  <w:pPr>
                    <w:pStyle w:val="38"/>
                  </w:pPr>
                </w:p>
              </w:tc>
              <w:tc>
                <w:tcPr>
                  <w:tcW w:w="773" w:type="pct"/>
                  <w:vMerge w:val="continue"/>
                  <w:tcBorders>
                    <w:tl2br w:val="nil"/>
                    <w:tr2bl w:val="nil"/>
                  </w:tcBorders>
                  <w:vAlign w:val="center"/>
                </w:tcPr>
                <w:p w14:paraId="5216BC3C">
                  <w:pPr>
                    <w:pStyle w:val="38"/>
                  </w:pPr>
                </w:p>
              </w:tc>
              <w:tc>
                <w:tcPr>
                  <w:tcW w:w="1143" w:type="pct"/>
                  <w:tcBorders>
                    <w:tl2br w:val="nil"/>
                    <w:tr2bl w:val="nil"/>
                  </w:tcBorders>
                  <w:vAlign w:val="center"/>
                </w:tcPr>
                <w:p w14:paraId="0E0EC32A">
                  <w:pPr>
                    <w:pStyle w:val="38"/>
                  </w:pPr>
                  <w:r>
                    <w:rPr>
                      <w:rFonts w:hint="eastAsia"/>
                    </w:rPr>
                    <w:t>PM</w:t>
                  </w:r>
                  <w:r>
                    <w:rPr>
                      <w:rFonts w:hint="eastAsia"/>
                      <w:vertAlign w:val="subscript"/>
                    </w:rPr>
                    <w:t>2.5</w:t>
                  </w:r>
                </w:p>
              </w:tc>
              <w:tc>
                <w:tcPr>
                  <w:tcW w:w="843" w:type="pct"/>
                  <w:tcBorders>
                    <w:tl2br w:val="nil"/>
                    <w:tr2bl w:val="nil"/>
                  </w:tcBorders>
                  <w:vAlign w:val="center"/>
                </w:tcPr>
                <w:p w14:paraId="08303D99">
                  <w:pPr>
                    <w:pStyle w:val="38"/>
                  </w:pPr>
                  <w:r>
                    <w:rPr>
                      <w:rFonts w:hint="eastAsia"/>
                    </w:rPr>
                    <w:t>5644</w:t>
                  </w:r>
                </w:p>
              </w:tc>
              <w:tc>
                <w:tcPr>
                  <w:tcW w:w="1001" w:type="pct"/>
                  <w:tcBorders>
                    <w:tl2br w:val="nil"/>
                    <w:tr2bl w:val="nil"/>
                  </w:tcBorders>
                  <w:vAlign w:val="center"/>
                </w:tcPr>
                <w:p w14:paraId="20EEB0E0">
                  <w:pPr>
                    <w:pStyle w:val="38"/>
                  </w:pPr>
                  <w:r>
                    <w:rPr>
                      <w:rFonts w:hint="eastAsia"/>
                    </w:rPr>
                    <w:t>5644</w:t>
                  </w:r>
                </w:p>
              </w:tc>
            </w:tr>
            <w:tr w14:paraId="75061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238" w:type="pct"/>
                  <w:vMerge w:val="continue"/>
                  <w:tcBorders>
                    <w:tl2br w:val="nil"/>
                    <w:tr2bl w:val="nil"/>
                  </w:tcBorders>
                  <w:vAlign w:val="center"/>
                </w:tcPr>
                <w:p w14:paraId="000435AB">
                  <w:pPr>
                    <w:pStyle w:val="38"/>
                  </w:pPr>
                </w:p>
              </w:tc>
              <w:tc>
                <w:tcPr>
                  <w:tcW w:w="773" w:type="pct"/>
                  <w:vMerge w:val="continue"/>
                  <w:tcBorders>
                    <w:tl2br w:val="nil"/>
                    <w:tr2bl w:val="nil"/>
                  </w:tcBorders>
                  <w:vAlign w:val="center"/>
                </w:tcPr>
                <w:p w14:paraId="0A140BD1">
                  <w:pPr>
                    <w:pStyle w:val="38"/>
                  </w:pPr>
                </w:p>
              </w:tc>
              <w:tc>
                <w:tcPr>
                  <w:tcW w:w="1143" w:type="pct"/>
                  <w:tcBorders>
                    <w:tl2br w:val="nil"/>
                    <w:tr2bl w:val="nil"/>
                  </w:tcBorders>
                  <w:vAlign w:val="center"/>
                </w:tcPr>
                <w:p w14:paraId="1C61F703">
                  <w:pPr>
                    <w:pStyle w:val="38"/>
                  </w:pPr>
                  <w:r>
                    <w:t>VOCs</w:t>
                  </w:r>
                </w:p>
              </w:tc>
              <w:tc>
                <w:tcPr>
                  <w:tcW w:w="843" w:type="pct"/>
                  <w:tcBorders>
                    <w:tl2br w:val="nil"/>
                    <w:tr2bl w:val="nil"/>
                  </w:tcBorders>
                  <w:vAlign w:val="center"/>
                </w:tcPr>
                <w:p w14:paraId="0BD54FE5">
                  <w:pPr>
                    <w:pStyle w:val="38"/>
                  </w:pPr>
                  <w:r>
                    <w:rPr>
                      <w:rFonts w:hint="eastAsia"/>
                    </w:rPr>
                    <w:t>5843</w:t>
                  </w:r>
                </w:p>
              </w:tc>
              <w:tc>
                <w:tcPr>
                  <w:tcW w:w="1001" w:type="pct"/>
                  <w:tcBorders>
                    <w:tl2br w:val="nil"/>
                    <w:tr2bl w:val="nil"/>
                  </w:tcBorders>
                  <w:vAlign w:val="center"/>
                </w:tcPr>
                <w:p w14:paraId="6B53C2BF">
                  <w:pPr>
                    <w:pStyle w:val="38"/>
                  </w:pPr>
                  <w:r>
                    <w:rPr>
                      <w:rFonts w:hint="eastAsia"/>
                    </w:rPr>
                    <w:t>5843</w:t>
                  </w:r>
                </w:p>
              </w:tc>
            </w:tr>
            <w:tr w14:paraId="5D04F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238" w:type="pct"/>
                  <w:tcBorders>
                    <w:tl2br w:val="nil"/>
                    <w:tr2bl w:val="nil"/>
                  </w:tcBorders>
                  <w:vAlign w:val="center"/>
                </w:tcPr>
                <w:p w14:paraId="1AF2512D">
                  <w:pPr>
                    <w:pStyle w:val="38"/>
                  </w:pPr>
                  <w:r>
                    <w:t>水环境质量底线</w:t>
                  </w:r>
                </w:p>
              </w:tc>
              <w:tc>
                <w:tcPr>
                  <w:tcW w:w="1916" w:type="pct"/>
                  <w:gridSpan w:val="2"/>
                  <w:tcBorders>
                    <w:tl2br w:val="nil"/>
                    <w:tr2bl w:val="nil"/>
                  </w:tcBorders>
                  <w:vAlign w:val="center"/>
                </w:tcPr>
                <w:p w14:paraId="5BA77E02">
                  <w:pPr>
                    <w:pStyle w:val="38"/>
                    <w:rPr>
                      <w:rFonts w:hint="eastAsia" w:eastAsia="宋体"/>
                      <w:lang w:val="en-US" w:eastAsia="zh-CN"/>
                    </w:rPr>
                  </w:pPr>
                  <w:r>
                    <w:rPr>
                      <w:rFonts w:hint="eastAsia"/>
                    </w:rPr>
                    <w:t>青塘</w:t>
                  </w:r>
                  <w:r>
                    <w:rPr>
                      <w:rFonts w:hint="eastAsia"/>
                      <w:lang w:val="en-US" w:eastAsia="zh-CN"/>
                    </w:rPr>
                    <w:t>河</w:t>
                  </w:r>
                </w:p>
              </w:tc>
              <w:tc>
                <w:tcPr>
                  <w:tcW w:w="1845" w:type="pct"/>
                  <w:gridSpan w:val="2"/>
                  <w:tcBorders>
                    <w:tl2br w:val="nil"/>
                    <w:tr2bl w:val="nil"/>
                  </w:tcBorders>
                  <w:vAlign w:val="center"/>
                </w:tcPr>
                <w:p w14:paraId="37B120C0">
                  <w:pPr>
                    <w:pStyle w:val="38"/>
                  </w:pPr>
                  <w:r>
                    <w:rPr>
                      <w:rFonts w:hint="eastAsia"/>
                    </w:rPr>
                    <w:t>III</w:t>
                  </w:r>
                  <w:r>
                    <w:t>类</w:t>
                  </w:r>
                </w:p>
              </w:tc>
            </w:tr>
          </w:tbl>
          <w:p w14:paraId="7CE3BCCF">
            <w:pPr>
              <w:pStyle w:val="36"/>
              <w:ind w:firstLine="482"/>
              <w:rPr>
                <w:rFonts w:hint="default"/>
              </w:rPr>
            </w:pPr>
            <w:r>
              <w:rPr>
                <w:b/>
                <w:bCs/>
              </w:rPr>
              <w:t>环境空气质量底线符合性分析：</w:t>
            </w:r>
            <w:r>
              <w:t>根据江西省生态环境厅发布的《2023年江西省各县（市、区）六项污染物浓度年均值》，</w:t>
            </w:r>
            <w:r>
              <w:rPr>
                <w:rFonts w:hint="eastAsia"/>
              </w:rPr>
              <w:t>宁都县</w:t>
            </w:r>
            <w:r>
              <w:t>2023年环境空气中的SO</w:t>
            </w:r>
            <w:r>
              <w:rPr>
                <w:vertAlign w:val="subscript"/>
              </w:rPr>
              <w:t>2</w:t>
            </w:r>
            <w:r>
              <w:t>、NO</w:t>
            </w:r>
            <w:r>
              <w:rPr>
                <w:vertAlign w:val="subscript"/>
              </w:rPr>
              <w:t>2</w:t>
            </w:r>
            <w:r>
              <w:t>、PM</w:t>
            </w:r>
            <w:r>
              <w:rPr>
                <w:vertAlign w:val="subscript"/>
              </w:rPr>
              <w:t>10</w:t>
            </w:r>
            <w:r>
              <w:t>、PM</w:t>
            </w:r>
            <w:r>
              <w:rPr>
                <w:vertAlign w:val="subscript"/>
              </w:rPr>
              <w:t>2.5</w:t>
            </w:r>
            <w:r>
              <w:t>、CO、O</w:t>
            </w:r>
            <w:r>
              <w:rPr>
                <w:vertAlign w:val="subscript"/>
              </w:rPr>
              <w:t>3</w:t>
            </w:r>
            <w:r>
              <w:t>均可达到《环境空气质量标准》（GB3095-2012）及其修改单二级标准，因此，</w:t>
            </w:r>
            <w:r>
              <w:rPr>
                <w:rFonts w:hint="eastAsia"/>
                <w:lang w:eastAsia="zh-CN"/>
              </w:rPr>
              <w:t>宁都县</w:t>
            </w:r>
            <w:r>
              <w:t>属于环境空气达标区。本项目工程产生的废气经收集治理后，均可达标排放，因此，本项目满足环境空气质量底线的要求。</w:t>
            </w:r>
          </w:p>
          <w:p w14:paraId="09F99B51">
            <w:pPr>
              <w:pStyle w:val="36"/>
              <w:ind w:firstLine="482"/>
              <w:rPr>
                <w:rFonts w:hint="default"/>
              </w:rPr>
            </w:pPr>
            <w:r>
              <w:rPr>
                <w:b/>
                <w:bCs/>
              </w:rPr>
              <w:t>水环境质量底线符合性分析：</w:t>
            </w:r>
            <w:r>
              <w:t>根据《江西省地表水（环境）功能区划表》，本项目受纳水体</w:t>
            </w:r>
            <w:r>
              <w:rPr>
                <w:rFonts w:hint="eastAsia"/>
                <w:lang w:eastAsia="zh-CN"/>
              </w:rPr>
              <w:t>青塘河</w:t>
            </w:r>
            <w:r>
              <w:t>水质目标为“III类水”；</w:t>
            </w:r>
            <w:r>
              <w:rPr>
                <w:rFonts w:hint="eastAsia"/>
              </w:rPr>
              <w:t>根据赣州市生态环境局2024年2月6日发布的《2023年赣州市环境质量年报》，2023年赣江干流断面水质优良比例为100%，总体水质为优，II类水质比例为100%；项目所在流域青塘河断面水质为优</w:t>
            </w:r>
            <w:r>
              <w:rPr>
                <w:rFonts w:hint="eastAsia"/>
                <w:lang w:val="en-US" w:eastAsia="zh-CN"/>
              </w:rPr>
              <w:t>，</w:t>
            </w:r>
            <w:r>
              <w:t>区域地表水环境质量满足《地表水环境质量标准》（GB3838-2002）III类水质标准。本工程的实施有利于完善</w:t>
            </w:r>
            <w:r>
              <w:rPr>
                <w:rFonts w:hint="eastAsia"/>
                <w:lang w:val="en-US" w:eastAsia="zh-CN"/>
              </w:rPr>
              <w:t>区域</w:t>
            </w:r>
            <w:r>
              <w:t>污水收集与处理设施，重点弥补雨污分流、污水收集和污水处理设施短板，在一定程度上有利于进一步改善周边地表水水环境质量。</w:t>
            </w:r>
          </w:p>
          <w:p w14:paraId="505857A9">
            <w:pPr>
              <w:pStyle w:val="36"/>
              <w:ind w:firstLine="480"/>
              <w:rPr>
                <w:rFonts w:hint="default"/>
              </w:rPr>
            </w:pPr>
            <w:r>
              <w:t>综上所述，本项目的建设对区域环境质量底线影响较小。</w:t>
            </w:r>
          </w:p>
          <w:p w14:paraId="45F71BDC">
            <w:pPr>
              <w:pStyle w:val="36"/>
              <w:ind w:firstLine="480"/>
              <w:rPr>
                <w:rFonts w:hint="default"/>
              </w:rPr>
            </w:pPr>
            <w:r>
              <w:t>（3）资源利用上线</w:t>
            </w:r>
          </w:p>
          <w:p w14:paraId="3A9EBCC0">
            <w:pPr>
              <w:pStyle w:val="36"/>
              <w:ind w:firstLine="480"/>
              <w:rPr>
                <w:rFonts w:hint="default"/>
              </w:rPr>
            </w:pPr>
            <w:r>
              <w:t>本项目供水依托市政自来水，本项目运营期用水量较小，供水稳定可靠。用电来源于市政供电系统。本项目建成运行后通过内部管理、设备选择、原辅材料的选用和管理、废物回收利用、污染治理等多方面采取可行的防治措施，以“节能、降耗、减污”为目标，有效地控制污染，项目的水、电等资源利用不会突破区域的资源利用上线。</w:t>
            </w:r>
          </w:p>
          <w:p w14:paraId="143A3A9C">
            <w:pPr>
              <w:pStyle w:val="36"/>
              <w:bidi w:val="0"/>
            </w:pPr>
            <w:r>
              <w:t>（4）生态环境准入清单</w:t>
            </w:r>
          </w:p>
          <w:p w14:paraId="014EA23D">
            <w:pPr>
              <w:pStyle w:val="36"/>
              <w:bidi w:val="0"/>
            </w:pPr>
            <w:r>
              <w:t>根据</w:t>
            </w:r>
            <w:r>
              <w:rPr>
                <w:rFonts w:hint="eastAsia"/>
              </w:rPr>
              <w:t>赣州市生态环境保护委员会办公室关于印发</w:t>
            </w:r>
            <w:r>
              <w:rPr>
                <w:rFonts w:hint="eastAsia"/>
                <w:lang w:eastAsia="zh-CN"/>
              </w:rPr>
              <w:t>《</w:t>
            </w:r>
            <w:r>
              <w:rPr>
                <w:rFonts w:hint="eastAsia"/>
              </w:rPr>
              <w:t>赣州市生态环境分区管控动态更新调整方案(2023年)》的通知</w:t>
            </w:r>
            <w:r>
              <w:rPr>
                <w:rFonts w:hint="eastAsia"/>
                <w:lang w:eastAsia="zh-CN"/>
              </w:rPr>
              <w:t>（赣市环委办字〔2024</w:t>
            </w:r>
            <w:r>
              <w:t>〕</w:t>
            </w:r>
            <w:r>
              <w:rPr>
                <w:rFonts w:hint="eastAsia"/>
                <w:lang w:eastAsia="zh-CN"/>
              </w:rPr>
              <w:t>7号）</w:t>
            </w:r>
            <w:r>
              <w:t>，本项目所在地属于</w:t>
            </w:r>
            <w:r>
              <w:rPr>
                <w:rFonts w:hint="eastAsia"/>
                <w:lang w:val="en-US" w:eastAsia="zh-CN"/>
              </w:rPr>
              <w:t>青塘镇</w:t>
            </w:r>
            <w:r>
              <w:t>范围，属于</w:t>
            </w:r>
            <w:r>
              <w:rPr>
                <w:rFonts w:hint="eastAsia"/>
                <w:lang w:val="en-US" w:eastAsia="zh-CN"/>
              </w:rPr>
              <w:t>重点</w:t>
            </w:r>
            <w:r>
              <w:t>管控单元（环境管控单元编码</w:t>
            </w:r>
            <w:r>
              <w:rPr>
                <w:rFonts w:hint="eastAsia"/>
              </w:rPr>
              <w:t>ZH36073020004</w:t>
            </w:r>
            <w:r>
              <w:t>）。本次评价将赣州市环境管控单元生态环境准入清单的具体要求列于表1-</w:t>
            </w:r>
            <w:r>
              <w:rPr>
                <w:rFonts w:hint="eastAsia"/>
              </w:rPr>
              <w:t>3</w:t>
            </w:r>
            <w:r>
              <w:t>进行符合性分析。</w:t>
            </w:r>
          </w:p>
          <w:p w14:paraId="5F6FD6BD">
            <w:pPr>
              <w:pStyle w:val="52"/>
              <w:bidi w:val="0"/>
            </w:pPr>
            <w:r>
              <w:rPr>
                <w:rFonts w:hint="eastAsia"/>
              </w:rPr>
              <w:t>赣州市环境管控单元生态环境准入清单符合性分析表</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29"/>
              <w:gridCol w:w="3082"/>
              <w:gridCol w:w="2344"/>
              <w:gridCol w:w="1068"/>
            </w:tblGrid>
            <w:tr w14:paraId="0A7A379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26" w:type="pct"/>
                  <w:tcBorders>
                    <w:tl2br w:val="nil"/>
                    <w:tr2bl w:val="nil"/>
                  </w:tcBorders>
                  <w:noWrap w:val="0"/>
                  <w:vAlign w:val="center"/>
                </w:tcPr>
                <w:p w14:paraId="4A5AB511">
                  <w:pPr>
                    <w:pStyle w:val="38"/>
                    <w:bidi w:val="0"/>
                  </w:pPr>
                  <w:r>
                    <w:rPr>
                      <w:rFonts w:hint="eastAsia"/>
                    </w:rPr>
                    <w:t>序号</w:t>
                  </w:r>
                </w:p>
              </w:tc>
              <w:tc>
                <w:tcPr>
                  <w:tcW w:w="2075" w:type="pct"/>
                  <w:tcBorders>
                    <w:tl2br w:val="nil"/>
                    <w:tr2bl w:val="nil"/>
                  </w:tcBorders>
                  <w:noWrap w:val="0"/>
                  <w:vAlign w:val="center"/>
                </w:tcPr>
                <w:p w14:paraId="3B76F385">
                  <w:pPr>
                    <w:pStyle w:val="38"/>
                    <w:bidi w:val="0"/>
                  </w:pPr>
                  <w:r>
                    <w:rPr>
                      <w:rFonts w:hint="eastAsia"/>
                    </w:rPr>
                    <w:t>与项目相关的赣州市环境管控单元生态环境准入清单</w:t>
                  </w:r>
                </w:p>
              </w:tc>
              <w:tc>
                <w:tcPr>
                  <w:tcW w:w="1578" w:type="pct"/>
                  <w:tcBorders>
                    <w:tl2br w:val="nil"/>
                    <w:tr2bl w:val="nil"/>
                  </w:tcBorders>
                  <w:noWrap w:val="0"/>
                  <w:vAlign w:val="center"/>
                </w:tcPr>
                <w:p w14:paraId="718643BB">
                  <w:pPr>
                    <w:pStyle w:val="38"/>
                    <w:bidi w:val="0"/>
                  </w:pPr>
                  <w:r>
                    <w:rPr>
                      <w:rFonts w:hint="eastAsia"/>
                    </w:rPr>
                    <w:t>项目情况</w:t>
                  </w:r>
                </w:p>
              </w:tc>
              <w:tc>
                <w:tcPr>
                  <w:tcW w:w="719" w:type="pct"/>
                  <w:tcBorders>
                    <w:tl2br w:val="nil"/>
                    <w:tr2bl w:val="nil"/>
                  </w:tcBorders>
                  <w:noWrap w:val="0"/>
                  <w:vAlign w:val="center"/>
                </w:tcPr>
                <w:p w14:paraId="03C71CA8">
                  <w:pPr>
                    <w:pStyle w:val="38"/>
                    <w:bidi w:val="0"/>
                  </w:pPr>
                  <w:r>
                    <w:rPr>
                      <w:rFonts w:hint="eastAsia"/>
                    </w:rPr>
                    <w:t>项目符合情况</w:t>
                  </w:r>
                </w:p>
              </w:tc>
            </w:tr>
            <w:tr w14:paraId="3032B69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26" w:type="pct"/>
                  <w:tcBorders>
                    <w:tl2br w:val="nil"/>
                    <w:tr2bl w:val="nil"/>
                  </w:tcBorders>
                  <w:noWrap w:val="0"/>
                  <w:vAlign w:val="center"/>
                </w:tcPr>
                <w:p w14:paraId="2487FDD3">
                  <w:pPr>
                    <w:pStyle w:val="38"/>
                    <w:bidi w:val="0"/>
                  </w:pPr>
                  <w:r>
                    <w:rPr>
                      <w:rFonts w:hint="eastAsia"/>
                    </w:rPr>
                    <w:t>1</w:t>
                  </w:r>
                </w:p>
              </w:tc>
              <w:tc>
                <w:tcPr>
                  <w:tcW w:w="2075" w:type="pct"/>
                  <w:tcBorders>
                    <w:tl2br w:val="nil"/>
                    <w:tr2bl w:val="nil"/>
                  </w:tcBorders>
                  <w:noWrap w:val="0"/>
                  <w:vAlign w:val="center"/>
                </w:tcPr>
                <w:p w14:paraId="367849CD">
                  <w:pPr>
                    <w:pStyle w:val="38"/>
                    <w:bidi w:val="0"/>
                  </w:pPr>
                  <w:r>
                    <w:rPr>
                      <w:rFonts w:hint="eastAsia"/>
                    </w:rPr>
                    <w:t>生态保护红线范围执行生态保护红线的有关管理规定</w:t>
                  </w:r>
                </w:p>
              </w:tc>
              <w:tc>
                <w:tcPr>
                  <w:tcW w:w="1578" w:type="pct"/>
                  <w:tcBorders>
                    <w:tl2br w:val="nil"/>
                    <w:tr2bl w:val="nil"/>
                  </w:tcBorders>
                  <w:noWrap w:val="0"/>
                  <w:vAlign w:val="center"/>
                </w:tcPr>
                <w:p w14:paraId="751B2077">
                  <w:pPr>
                    <w:pStyle w:val="38"/>
                    <w:bidi w:val="0"/>
                  </w:pPr>
                  <w:r>
                    <w:rPr>
                      <w:rFonts w:hint="eastAsia"/>
                    </w:rPr>
                    <w:t>本项目不在生态保护红线范围内。</w:t>
                  </w:r>
                </w:p>
              </w:tc>
              <w:tc>
                <w:tcPr>
                  <w:tcW w:w="719" w:type="pct"/>
                  <w:tcBorders>
                    <w:tl2br w:val="nil"/>
                    <w:tr2bl w:val="nil"/>
                  </w:tcBorders>
                  <w:noWrap w:val="0"/>
                  <w:vAlign w:val="center"/>
                </w:tcPr>
                <w:p w14:paraId="424AE508">
                  <w:pPr>
                    <w:pStyle w:val="38"/>
                    <w:bidi w:val="0"/>
                  </w:pPr>
                  <w:r>
                    <w:rPr>
                      <w:rFonts w:hint="eastAsia"/>
                    </w:rPr>
                    <w:t>符合</w:t>
                  </w:r>
                </w:p>
              </w:tc>
            </w:tr>
            <w:tr w14:paraId="326E9AF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26" w:type="pct"/>
                  <w:tcBorders>
                    <w:tl2br w:val="nil"/>
                    <w:tr2bl w:val="nil"/>
                  </w:tcBorders>
                  <w:noWrap w:val="0"/>
                  <w:vAlign w:val="center"/>
                </w:tcPr>
                <w:p w14:paraId="2E10B176">
                  <w:pPr>
                    <w:pStyle w:val="38"/>
                    <w:bidi w:val="0"/>
                  </w:pPr>
                  <w:r>
                    <w:rPr>
                      <w:rFonts w:hint="eastAsia"/>
                    </w:rPr>
                    <w:t>2</w:t>
                  </w:r>
                </w:p>
              </w:tc>
              <w:tc>
                <w:tcPr>
                  <w:tcW w:w="2075" w:type="pct"/>
                  <w:tcBorders>
                    <w:tl2br w:val="nil"/>
                    <w:tr2bl w:val="nil"/>
                  </w:tcBorders>
                  <w:noWrap w:val="0"/>
                  <w:vAlign w:val="center"/>
                </w:tcPr>
                <w:p w14:paraId="72892D2C">
                  <w:pPr>
                    <w:pStyle w:val="38"/>
                    <w:bidi w:val="0"/>
                  </w:pPr>
                  <w:r>
                    <w:rPr>
                      <w:rFonts w:hint="eastAsia"/>
                    </w:rPr>
                    <w:t>禁养区禁止建设养殖场或禁止建设有污染物排放的养殖场。</w:t>
                  </w:r>
                </w:p>
              </w:tc>
              <w:tc>
                <w:tcPr>
                  <w:tcW w:w="1578" w:type="pct"/>
                  <w:tcBorders>
                    <w:tl2br w:val="nil"/>
                    <w:tr2bl w:val="nil"/>
                  </w:tcBorders>
                  <w:noWrap w:val="0"/>
                  <w:vAlign w:val="center"/>
                </w:tcPr>
                <w:p w14:paraId="78779833">
                  <w:pPr>
                    <w:pStyle w:val="38"/>
                    <w:bidi w:val="0"/>
                  </w:pPr>
                  <w:r>
                    <w:rPr>
                      <w:rFonts w:hint="eastAsia"/>
                    </w:rPr>
                    <w:t>本项目不涉及养殖。</w:t>
                  </w:r>
                </w:p>
              </w:tc>
              <w:tc>
                <w:tcPr>
                  <w:tcW w:w="719" w:type="pct"/>
                  <w:tcBorders>
                    <w:tl2br w:val="nil"/>
                    <w:tr2bl w:val="nil"/>
                  </w:tcBorders>
                  <w:noWrap w:val="0"/>
                  <w:vAlign w:val="center"/>
                </w:tcPr>
                <w:p w14:paraId="65779EB9">
                  <w:pPr>
                    <w:pStyle w:val="38"/>
                    <w:bidi w:val="0"/>
                  </w:pPr>
                  <w:r>
                    <w:rPr>
                      <w:rFonts w:hint="eastAsia"/>
                    </w:rPr>
                    <w:t>符合</w:t>
                  </w:r>
                </w:p>
              </w:tc>
            </w:tr>
            <w:tr w14:paraId="4427720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26" w:type="pct"/>
                  <w:tcBorders>
                    <w:tl2br w:val="nil"/>
                    <w:tr2bl w:val="nil"/>
                  </w:tcBorders>
                  <w:noWrap w:val="0"/>
                  <w:vAlign w:val="center"/>
                </w:tcPr>
                <w:p w14:paraId="5B8BCBE9">
                  <w:pPr>
                    <w:pStyle w:val="38"/>
                    <w:bidi w:val="0"/>
                  </w:pPr>
                  <w:r>
                    <w:rPr>
                      <w:rFonts w:hint="eastAsia"/>
                    </w:rPr>
                    <w:t>3</w:t>
                  </w:r>
                </w:p>
              </w:tc>
              <w:tc>
                <w:tcPr>
                  <w:tcW w:w="2075" w:type="pct"/>
                  <w:tcBorders>
                    <w:tl2br w:val="nil"/>
                    <w:tr2bl w:val="nil"/>
                  </w:tcBorders>
                  <w:noWrap w:val="0"/>
                  <w:vAlign w:val="center"/>
                </w:tcPr>
                <w:p w14:paraId="21A1959E">
                  <w:pPr>
                    <w:pStyle w:val="38"/>
                    <w:bidi w:val="0"/>
                  </w:pPr>
                  <w:r>
                    <w:rPr>
                      <w:rFonts w:hint="eastAsia"/>
                    </w:rPr>
                    <w:t>经生态保护红线优化后不符合生态功能活动的，限期退出依法关停。</w:t>
                  </w:r>
                </w:p>
              </w:tc>
              <w:tc>
                <w:tcPr>
                  <w:tcW w:w="1578" w:type="pct"/>
                  <w:tcBorders>
                    <w:tl2br w:val="nil"/>
                    <w:tr2bl w:val="nil"/>
                  </w:tcBorders>
                  <w:noWrap w:val="0"/>
                  <w:vAlign w:val="center"/>
                </w:tcPr>
                <w:p w14:paraId="7D9FE369">
                  <w:pPr>
                    <w:pStyle w:val="38"/>
                    <w:bidi w:val="0"/>
                  </w:pPr>
                  <w:r>
                    <w:rPr>
                      <w:rFonts w:hint="eastAsia"/>
                    </w:rPr>
                    <w:t>本项目不涉及</w:t>
                  </w:r>
                </w:p>
              </w:tc>
              <w:tc>
                <w:tcPr>
                  <w:tcW w:w="719" w:type="pct"/>
                  <w:tcBorders>
                    <w:tl2br w:val="nil"/>
                    <w:tr2bl w:val="nil"/>
                  </w:tcBorders>
                  <w:noWrap w:val="0"/>
                  <w:vAlign w:val="center"/>
                </w:tcPr>
                <w:p w14:paraId="0F9CB762">
                  <w:pPr>
                    <w:pStyle w:val="38"/>
                    <w:bidi w:val="0"/>
                  </w:pPr>
                  <w:r>
                    <w:rPr>
                      <w:rFonts w:hint="eastAsia"/>
                    </w:rPr>
                    <w:t>符合</w:t>
                  </w:r>
                </w:p>
              </w:tc>
            </w:tr>
            <w:tr w14:paraId="27A5FD3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26" w:type="pct"/>
                  <w:tcBorders>
                    <w:tl2br w:val="nil"/>
                    <w:tr2bl w:val="nil"/>
                  </w:tcBorders>
                  <w:noWrap w:val="0"/>
                  <w:vAlign w:val="center"/>
                </w:tcPr>
                <w:p w14:paraId="26F883BB">
                  <w:pPr>
                    <w:pStyle w:val="38"/>
                    <w:bidi w:val="0"/>
                  </w:pPr>
                  <w:r>
                    <w:rPr>
                      <w:rFonts w:hint="eastAsia"/>
                    </w:rPr>
                    <w:t>4</w:t>
                  </w:r>
                </w:p>
              </w:tc>
              <w:tc>
                <w:tcPr>
                  <w:tcW w:w="2075" w:type="pct"/>
                  <w:tcBorders>
                    <w:tl2br w:val="nil"/>
                    <w:tr2bl w:val="nil"/>
                  </w:tcBorders>
                  <w:noWrap w:val="0"/>
                  <w:vAlign w:val="center"/>
                </w:tcPr>
                <w:p w14:paraId="1A6C7BCA">
                  <w:pPr>
                    <w:pStyle w:val="38"/>
                    <w:bidi w:val="0"/>
                  </w:pPr>
                  <w:r>
                    <w:rPr>
                      <w:rFonts w:hint="eastAsia"/>
                    </w:rPr>
                    <w:t>不合法的矿产资源开发应限期退出或关停。</w:t>
                  </w:r>
                </w:p>
              </w:tc>
              <w:tc>
                <w:tcPr>
                  <w:tcW w:w="1578" w:type="pct"/>
                  <w:tcBorders>
                    <w:tl2br w:val="nil"/>
                    <w:tr2bl w:val="nil"/>
                  </w:tcBorders>
                  <w:noWrap w:val="0"/>
                  <w:vAlign w:val="center"/>
                </w:tcPr>
                <w:p w14:paraId="40C75EC1">
                  <w:pPr>
                    <w:pStyle w:val="38"/>
                    <w:bidi w:val="0"/>
                    <w:rPr>
                      <w:rFonts w:hint="eastAsia"/>
                    </w:rPr>
                  </w:pPr>
                  <w:r>
                    <w:rPr>
                      <w:rFonts w:hint="eastAsia"/>
                    </w:rPr>
                    <w:t>本项目不涉及</w:t>
                  </w:r>
                </w:p>
              </w:tc>
              <w:tc>
                <w:tcPr>
                  <w:tcW w:w="719" w:type="pct"/>
                  <w:tcBorders>
                    <w:tl2br w:val="nil"/>
                    <w:tr2bl w:val="nil"/>
                  </w:tcBorders>
                  <w:noWrap w:val="0"/>
                  <w:vAlign w:val="center"/>
                </w:tcPr>
                <w:p w14:paraId="18167F6B">
                  <w:pPr>
                    <w:pStyle w:val="38"/>
                    <w:bidi w:val="0"/>
                  </w:pPr>
                  <w:r>
                    <w:rPr>
                      <w:rFonts w:hint="eastAsia"/>
                    </w:rPr>
                    <w:t>符合</w:t>
                  </w:r>
                </w:p>
              </w:tc>
            </w:tr>
            <w:tr w14:paraId="4194516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626" w:type="pct"/>
                  <w:tcBorders>
                    <w:tl2br w:val="nil"/>
                    <w:tr2bl w:val="nil"/>
                  </w:tcBorders>
                  <w:noWrap w:val="0"/>
                  <w:vAlign w:val="center"/>
                </w:tcPr>
                <w:p w14:paraId="3A3E6D3C">
                  <w:pPr>
                    <w:pStyle w:val="38"/>
                    <w:bidi w:val="0"/>
                    <w:rPr>
                      <w:rFonts w:hint="eastAsia"/>
                      <w:lang w:val="en-US" w:eastAsia="zh-CN"/>
                    </w:rPr>
                  </w:pPr>
                  <w:r>
                    <w:rPr>
                      <w:rFonts w:hint="eastAsia"/>
                    </w:rPr>
                    <w:t>5</w:t>
                  </w:r>
                </w:p>
              </w:tc>
              <w:tc>
                <w:tcPr>
                  <w:tcW w:w="2075" w:type="pct"/>
                  <w:tcBorders>
                    <w:tl2br w:val="nil"/>
                    <w:tr2bl w:val="nil"/>
                  </w:tcBorders>
                  <w:noWrap w:val="0"/>
                  <w:vAlign w:val="center"/>
                </w:tcPr>
                <w:p w14:paraId="2769B4C5">
                  <w:pPr>
                    <w:pStyle w:val="38"/>
                    <w:bidi w:val="0"/>
                    <w:rPr>
                      <w:rFonts w:hint="eastAsia"/>
                    </w:rPr>
                  </w:pPr>
                  <w:r>
                    <w:rPr>
                      <w:rFonts w:hint="eastAsia"/>
                    </w:rPr>
                    <w:t>新建项目污染物排放量应实施县（市）平衡，区域污染物排放总量不增加</w:t>
                  </w:r>
                </w:p>
              </w:tc>
              <w:tc>
                <w:tcPr>
                  <w:tcW w:w="1578" w:type="pct"/>
                  <w:tcBorders>
                    <w:tl2br w:val="nil"/>
                    <w:tr2bl w:val="nil"/>
                  </w:tcBorders>
                  <w:noWrap w:val="0"/>
                  <w:vAlign w:val="center"/>
                </w:tcPr>
                <w:p w14:paraId="030168EF">
                  <w:pPr>
                    <w:pStyle w:val="38"/>
                    <w:bidi w:val="0"/>
                    <w:rPr>
                      <w:rFonts w:hint="eastAsia"/>
                    </w:rPr>
                  </w:pPr>
                  <w:r>
                    <w:rPr>
                      <w:rFonts w:hint="eastAsia"/>
                    </w:rPr>
                    <w:t>本项目不涉及</w:t>
                  </w:r>
                </w:p>
              </w:tc>
              <w:tc>
                <w:tcPr>
                  <w:tcW w:w="719" w:type="pct"/>
                  <w:tcBorders>
                    <w:tl2br w:val="nil"/>
                    <w:tr2bl w:val="nil"/>
                  </w:tcBorders>
                  <w:noWrap w:val="0"/>
                  <w:vAlign w:val="center"/>
                </w:tcPr>
                <w:p w14:paraId="54B213DC">
                  <w:pPr>
                    <w:pStyle w:val="38"/>
                    <w:bidi w:val="0"/>
                    <w:rPr>
                      <w:rFonts w:hint="eastAsia"/>
                    </w:rPr>
                  </w:pPr>
                  <w:r>
                    <w:rPr>
                      <w:rFonts w:hint="eastAsia"/>
                    </w:rPr>
                    <w:t>符合</w:t>
                  </w:r>
                </w:p>
              </w:tc>
            </w:tr>
            <w:tr w14:paraId="6E259BF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626" w:type="pct"/>
                  <w:tcBorders>
                    <w:tl2br w:val="nil"/>
                    <w:tr2bl w:val="nil"/>
                  </w:tcBorders>
                  <w:noWrap w:val="0"/>
                  <w:vAlign w:val="center"/>
                </w:tcPr>
                <w:p w14:paraId="6E514539">
                  <w:pPr>
                    <w:pStyle w:val="38"/>
                    <w:bidi w:val="0"/>
                    <w:rPr>
                      <w:rFonts w:hint="eastAsia"/>
                      <w:lang w:val="en-US" w:eastAsia="zh-CN"/>
                    </w:rPr>
                  </w:pPr>
                  <w:r>
                    <w:rPr>
                      <w:rFonts w:hint="eastAsia"/>
                    </w:rPr>
                    <w:t>6</w:t>
                  </w:r>
                </w:p>
              </w:tc>
              <w:tc>
                <w:tcPr>
                  <w:tcW w:w="2075" w:type="pct"/>
                  <w:tcBorders>
                    <w:tl2br w:val="nil"/>
                    <w:tr2bl w:val="nil"/>
                  </w:tcBorders>
                  <w:noWrap w:val="0"/>
                  <w:vAlign w:val="center"/>
                </w:tcPr>
                <w:p w14:paraId="0AF6862E">
                  <w:pPr>
                    <w:pStyle w:val="38"/>
                    <w:bidi w:val="0"/>
                    <w:rPr>
                      <w:rFonts w:hint="eastAsia"/>
                    </w:rPr>
                  </w:pPr>
                  <w:r>
                    <w:rPr>
                      <w:rFonts w:hint="eastAsia"/>
                      <w:lang w:val="en-US" w:eastAsia="zh-CN"/>
                    </w:rPr>
                    <w:t>新建项目污染物排放应达到行业排放标准或综合排放标准</w:t>
                  </w:r>
                </w:p>
              </w:tc>
              <w:tc>
                <w:tcPr>
                  <w:tcW w:w="1578" w:type="pct"/>
                  <w:tcBorders>
                    <w:tl2br w:val="nil"/>
                    <w:tr2bl w:val="nil"/>
                  </w:tcBorders>
                  <w:noWrap w:val="0"/>
                  <w:vAlign w:val="center"/>
                </w:tcPr>
                <w:p w14:paraId="665A6693">
                  <w:pPr>
                    <w:pStyle w:val="38"/>
                    <w:bidi w:val="0"/>
                    <w:rPr>
                      <w:rFonts w:hint="default" w:eastAsia="宋体"/>
                      <w:lang w:val="en-US" w:eastAsia="zh-CN"/>
                    </w:rPr>
                  </w:pPr>
                  <w:r>
                    <w:rPr>
                      <w:rFonts w:hint="eastAsia"/>
                      <w:lang w:val="en-US" w:eastAsia="zh-CN"/>
                    </w:rPr>
                    <w:t>项目按照要求安装环保设备，各污染物达标排放</w:t>
                  </w:r>
                </w:p>
              </w:tc>
              <w:tc>
                <w:tcPr>
                  <w:tcW w:w="719" w:type="pct"/>
                  <w:tcBorders>
                    <w:tl2br w:val="nil"/>
                    <w:tr2bl w:val="nil"/>
                  </w:tcBorders>
                  <w:noWrap w:val="0"/>
                  <w:vAlign w:val="center"/>
                </w:tcPr>
                <w:p w14:paraId="6438AB67">
                  <w:pPr>
                    <w:pStyle w:val="38"/>
                    <w:bidi w:val="0"/>
                    <w:rPr>
                      <w:rFonts w:hint="eastAsia"/>
                    </w:rPr>
                  </w:pPr>
                  <w:r>
                    <w:rPr>
                      <w:rFonts w:hint="eastAsia"/>
                    </w:rPr>
                    <w:t>符合</w:t>
                  </w:r>
                </w:p>
              </w:tc>
            </w:tr>
            <w:tr w14:paraId="1DE3EAB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626" w:type="pct"/>
                  <w:tcBorders>
                    <w:tl2br w:val="nil"/>
                    <w:tr2bl w:val="nil"/>
                  </w:tcBorders>
                  <w:noWrap w:val="0"/>
                  <w:vAlign w:val="center"/>
                </w:tcPr>
                <w:p w14:paraId="15572BDF">
                  <w:pPr>
                    <w:pStyle w:val="38"/>
                    <w:bidi w:val="0"/>
                    <w:rPr>
                      <w:lang w:val="en-US" w:eastAsia="zh-CN"/>
                    </w:rPr>
                  </w:pPr>
                  <w:r>
                    <w:rPr>
                      <w:rFonts w:hint="eastAsia"/>
                    </w:rPr>
                    <w:t>7</w:t>
                  </w:r>
                </w:p>
              </w:tc>
              <w:tc>
                <w:tcPr>
                  <w:tcW w:w="2075" w:type="pct"/>
                  <w:tcBorders>
                    <w:tl2br w:val="nil"/>
                    <w:tr2bl w:val="nil"/>
                  </w:tcBorders>
                  <w:noWrap w:val="0"/>
                  <w:vAlign w:val="center"/>
                </w:tcPr>
                <w:p w14:paraId="184F4C48">
                  <w:pPr>
                    <w:pStyle w:val="38"/>
                    <w:bidi w:val="0"/>
                  </w:pPr>
                  <w:r>
                    <w:rPr>
                      <w:rFonts w:hint="eastAsia"/>
                    </w:rPr>
                    <w:t>企业应编制环境风险应急预案，并加强应急演练。</w:t>
                  </w:r>
                </w:p>
              </w:tc>
              <w:tc>
                <w:tcPr>
                  <w:tcW w:w="1578" w:type="pct"/>
                  <w:tcBorders>
                    <w:tl2br w:val="nil"/>
                    <w:tr2bl w:val="nil"/>
                  </w:tcBorders>
                  <w:noWrap w:val="0"/>
                  <w:vAlign w:val="center"/>
                </w:tcPr>
                <w:p w14:paraId="07EE34D1">
                  <w:pPr>
                    <w:pStyle w:val="38"/>
                    <w:bidi w:val="0"/>
                  </w:pPr>
                  <w:r>
                    <w:rPr>
                      <w:rFonts w:hint="eastAsia"/>
                      <w:lang w:val="en-US" w:eastAsia="zh-CN"/>
                    </w:rPr>
                    <w:t>企业环境风险较小</w:t>
                  </w:r>
                </w:p>
              </w:tc>
              <w:tc>
                <w:tcPr>
                  <w:tcW w:w="719" w:type="pct"/>
                  <w:tcBorders>
                    <w:tl2br w:val="nil"/>
                    <w:tr2bl w:val="nil"/>
                  </w:tcBorders>
                  <w:noWrap w:val="0"/>
                  <w:vAlign w:val="center"/>
                </w:tcPr>
                <w:p w14:paraId="25DFCF01">
                  <w:pPr>
                    <w:pStyle w:val="38"/>
                    <w:bidi w:val="0"/>
                  </w:pPr>
                  <w:r>
                    <w:rPr>
                      <w:rFonts w:hint="eastAsia"/>
                    </w:rPr>
                    <w:t>符合</w:t>
                  </w:r>
                </w:p>
              </w:tc>
            </w:tr>
            <w:tr w14:paraId="73398CC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26" w:type="pct"/>
                  <w:tcBorders>
                    <w:tl2br w:val="nil"/>
                    <w:tr2bl w:val="nil"/>
                  </w:tcBorders>
                  <w:noWrap w:val="0"/>
                  <w:vAlign w:val="center"/>
                </w:tcPr>
                <w:p w14:paraId="70898B8E">
                  <w:pPr>
                    <w:pStyle w:val="38"/>
                    <w:bidi w:val="0"/>
                    <w:rPr>
                      <w:rFonts w:hint="eastAsia"/>
                      <w:lang w:eastAsia="zh-CN"/>
                    </w:rPr>
                  </w:pPr>
                  <w:r>
                    <w:rPr>
                      <w:rFonts w:hint="eastAsia"/>
                      <w:lang w:val="en-US" w:eastAsia="zh-CN"/>
                    </w:rPr>
                    <w:t>8</w:t>
                  </w:r>
                </w:p>
              </w:tc>
              <w:tc>
                <w:tcPr>
                  <w:tcW w:w="2075" w:type="pct"/>
                  <w:tcBorders>
                    <w:tl2br w:val="nil"/>
                    <w:tr2bl w:val="nil"/>
                  </w:tcBorders>
                  <w:noWrap w:val="0"/>
                  <w:vAlign w:val="center"/>
                </w:tcPr>
                <w:p w14:paraId="73C95851">
                  <w:pPr>
                    <w:pStyle w:val="38"/>
                    <w:bidi w:val="0"/>
                  </w:pPr>
                  <w:r>
                    <w:rPr>
                      <w:rFonts w:hint="eastAsia"/>
                    </w:rPr>
                    <w:t>农业灌溉水利用系数不低于0</w:t>
                  </w:r>
                  <w:r>
                    <w:t>.507</w:t>
                  </w:r>
                  <w:r>
                    <w:rPr>
                      <w:rFonts w:hint="eastAsia"/>
                    </w:rPr>
                    <w:t>。</w:t>
                  </w:r>
                </w:p>
              </w:tc>
              <w:tc>
                <w:tcPr>
                  <w:tcW w:w="1578" w:type="pct"/>
                  <w:tcBorders>
                    <w:tl2br w:val="nil"/>
                    <w:tr2bl w:val="nil"/>
                  </w:tcBorders>
                  <w:noWrap w:val="0"/>
                  <w:vAlign w:val="center"/>
                </w:tcPr>
                <w:p w14:paraId="3B64EFF6">
                  <w:pPr>
                    <w:pStyle w:val="38"/>
                    <w:bidi w:val="0"/>
                  </w:pPr>
                  <w:r>
                    <w:rPr>
                      <w:rFonts w:hint="eastAsia"/>
                      <w:lang w:val="en-US" w:eastAsia="zh-CN"/>
                    </w:rPr>
                    <w:t>本项目不属于农业项目</w:t>
                  </w:r>
                </w:p>
              </w:tc>
              <w:tc>
                <w:tcPr>
                  <w:tcW w:w="719" w:type="pct"/>
                  <w:tcBorders>
                    <w:tl2br w:val="nil"/>
                    <w:tr2bl w:val="nil"/>
                  </w:tcBorders>
                  <w:noWrap w:val="0"/>
                  <w:vAlign w:val="center"/>
                </w:tcPr>
                <w:p w14:paraId="1E55CD7C">
                  <w:pPr>
                    <w:pStyle w:val="38"/>
                    <w:bidi w:val="0"/>
                  </w:pPr>
                  <w:r>
                    <w:rPr>
                      <w:rFonts w:hint="eastAsia"/>
                    </w:rPr>
                    <w:t>符合</w:t>
                  </w:r>
                </w:p>
              </w:tc>
            </w:tr>
            <w:tr w14:paraId="5FB67C5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26" w:type="pct"/>
                  <w:tcBorders>
                    <w:tl2br w:val="nil"/>
                    <w:tr2bl w:val="nil"/>
                  </w:tcBorders>
                  <w:noWrap w:val="0"/>
                  <w:vAlign w:val="center"/>
                </w:tcPr>
                <w:p w14:paraId="5190FAC4">
                  <w:pPr>
                    <w:pStyle w:val="38"/>
                    <w:bidi w:val="0"/>
                    <w:rPr>
                      <w:rFonts w:hint="eastAsia"/>
                      <w:lang w:eastAsia="zh-CN"/>
                    </w:rPr>
                  </w:pPr>
                  <w:r>
                    <w:rPr>
                      <w:rFonts w:hint="eastAsia"/>
                      <w:lang w:val="en-US" w:eastAsia="zh-CN"/>
                    </w:rPr>
                    <w:t>9</w:t>
                  </w:r>
                </w:p>
              </w:tc>
              <w:tc>
                <w:tcPr>
                  <w:tcW w:w="2075" w:type="pct"/>
                  <w:tcBorders>
                    <w:tl2br w:val="nil"/>
                    <w:tr2bl w:val="nil"/>
                  </w:tcBorders>
                  <w:noWrap w:val="0"/>
                  <w:vAlign w:val="center"/>
                </w:tcPr>
                <w:p w14:paraId="2866EBE9">
                  <w:pPr>
                    <w:pStyle w:val="38"/>
                    <w:bidi w:val="0"/>
                  </w:pPr>
                  <w:r>
                    <w:rPr>
                      <w:rFonts w:hint="eastAsia"/>
                    </w:rPr>
                    <w:t>矿产资源开发时开采地下水遵照相关管理规定。</w:t>
                  </w:r>
                </w:p>
              </w:tc>
              <w:tc>
                <w:tcPr>
                  <w:tcW w:w="1578" w:type="pct"/>
                  <w:tcBorders>
                    <w:tl2br w:val="nil"/>
                    <w:tr2bl w:val="nil"/>
                  </w:tcBorders>
                  <w:noWrap w:val="0"/>
                  <w:vAlign w:val="center"/>
                </w:tcPr>
                <w:p w14:paraId="6E0BC754">
                  <w:pPr>
                    <w:pStyle w:val="38"/>
                    <w:bidi w:val="0"/>
                  </w:pPr>
                  <w:r>
                    <w:rPr>
                      <w:rFonts w:hint="eastAsia"/>
                    </w:rPr>
                    <w:t>本项目不涉及</w:t>
                  </w:r>
                </w:p>
              </w:tc>
              <w:tc>
                <w:tcPr>
                  <w:tcW w:w="719" w:type="pct"/>
                  <w:tcBorders>
                    <w:tl2br w:val="nil"/>
                    <w:tr2bl w:val="nil"/>
                  </w:tcBorders>
                  <w:noWrap w:val="0"/>
                  <w:vAlign w:val="center"/>
                </w:tcPr>
                <w:p w14:paraId="2D5EAEB5">
                  <w:pPr>
                    <w:pStyle w:val="38"/>
                    <w:bidi w:val="0"/>
                  </w:pPr>
                  <w:r>
                    <w:rPr>
                      <w:rFonts w:hint="eastAsia"/>
                    </w:rPr>
                    <w:t>符合</w:t>
                  </w:r>
                </w:p>
              </w:tc>
            </w:tr>
          </w:tbl>
          <w:p w14:paraId="1E868015">
            <w:pPr>
              <w:pStyle w:val="36"/>
              <w:ind w:firstLine="480"/>
              <w:rPr>
                <w:rFonts w:hint="default"/>
              </w:rPr>
            </w:pPr>
            <w:r>
              <w:rPr>
                <w:rFonts w:hint="eastAsia"/>
                <w:color w:val="auto"/>
                <w:sz w:val="24"/>
              </w:rPr>
              <w:t>由上表可知，项目符合《赣州市生态环境分区管控动态更新调整方案(2023年)》要求。</w:t>
            </w:r>
          </w:p>
          <w:p w14:paraId="3BCF838B">
            <w:pPr>
              <w:spacing w:line="360" w:lineRule="auto"/>
              <w:ind w:firstLine="482" w:firstLineChars="200"/>
              <w:jc w:val="left"/>
              <w:rPr>
                <w:b/>
                <w:sz w:val="24"/>
              </w:rPr>
            </w:pPr>
            <w:r>
              <w:rPr>
                <w:rFonts w:hint="eastAsia"/>
                <w:b/>
                <w:sz w:val="24"/>
              </w:rPr>
              <w:t>3</w:t>
            </w:r>
            <w:r>
              <w:rPr>
                <w:b/>
                <w:sz w:val="24"/>
              </w:rPr>
              <w:t>、与</w:t>
            </w:r>
            <w:r>
              <w:rPr>
                <w:rFonts w:hint="eastAsia"/>
                <w:b/>
                <w:sz w:val="24"/>
              </w:rPr>
              <w:t>《江西省生态环境厅关于公布江西省生态环境分区管控成果（2023版）的函》(赣环环评函〔2024〕87号）</w:t>
            </w:r>
            <w:r>
              <w:rPr>
                <w:b/>
                <w:sz w:val="24"/>
              </w:rPr>
              <w:t>相符性分析</w:t>
            </w:r>
          </w:p>
          <w:p w14:paraId="572BF1E2">
            <w:pPr>
              <w:pStyle w:val="64"/>
              <w:ind w:firstLine="480"/>
            </w:pPr>
            <w:r>
              <w:rPr>
                <w:rFonts w:hint="eastAsia"/>
              </w:rPr>
              <w:t>2024年4月28日，江西省生态环境厅发布《江西省生态环境厅关于公布江西省生态环境分区管控成果（2023版）的函》(赣环环评函〔2024〕87号），根据江西省环境管控单元汇总表（2023版），赣州市环境管控单元划分情况如下：全市共划定环境管控单元226个，分为优先保护单元、重点管控单元、一般管控单元三类，实施分类管控。其中，优先保护单元40个，约占全市国土面积的42.69%；重点管控单元112个，约占全市国土面积的19.69%；一般单元74个，为优先保护单元和重点管控单元之外的其他区域，约占全市国土面积的37.62%。</w:t>
            </w:r>
          </w:p>
          <w:p w14:paraId="773D6103">
            <w:pPr>
              <w:pStyle w:val="64"/>
              <w:ind w:firstLine="0" w:firstLineChars="0"/>
              <w:jc w:val="center"/>
            </w:pPr>
            <w:r>
              <w:rPr>
                <w:sz w:val="24"/>
              </w:rPr>
              <mc:AlternateContent>
                <mc:Choice Requires="wpg">
                  <w:drawing>
                    <wp:anchor distT="0" distB="0" distL="114300" distR="114300" simplePos="0" relativeHeight="251660288" behindDoc="0" locked="0" layoutInCell="1" allowOverlap="1">
                      <wp:simplePos x="0" y="0"/>
                      <wp:positionH relativeFrom="column">
                        <wp:posOffset>2201545</wp:posOffset>
                      </wp:positionH>
                      <wp:positionV relativeFrom="paragraph">
                        <wp:posOffset>2736215</wp:posOffset>
                      </wp:positionV>
                      <wp:extent cx="198120" cy="278130"/>
                      <wp:effectExtent l="12700" t="0" r="17780" b="26670"/>
                      <wp:wrapNone/>
                      <wp:docPr id="15" name="组合 15"/>
                      <wp:cNvGraphicFramePr/>
                      <a:graphic xmlns:a="http://schemas.openxmlformats.org/drawingml/2006/main">
                        <a:graphicData uri="http://schemas.microsoft.com/office/word/2010/wordprocessingGroup">
                          <wpg:wgp>
                            <wpg:cNvGrpSpPr/>
                            <wpg:grpSpPr>
                              <a:xfrm rot="0">
                                <a:off x="4276725" y="5599430"/>
                                <a:ext cx="198120" cy="278130"/>
                                <a:chOff x="6909" y="91943"/>
                                <a:chExt cx="312" cy="438"/>
                              </a:xfrm>
                            </wpg:grpSpPr>
                            <wps:wsp>
                              <wps:cNvPr id="12" name="五角星 12"/>
                              <wps:cNvSpPr/>
                              <wps:spPr>
                                <a:xfrm>
                                  <a:off x="6909" y="92243"/>
                                  <a:ext cx="119" cy="138"/>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直接箭头连接符 13"/>
                              <wps:cNvCnPr>
                                <a:stCxn id="12" idx="0"/>
                              </wps:cNvCnPr>
                              <wps:spPr>
                                <a:xfrm flipV="1">
                                  <a:off x="6969" y="91943"/>
                                  <a:ext cx="252" cy="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73.35pt;margin-top:215.45pt;height:21.9pt;width:15.6pt;z-index:251660288;mso-width-relative:page;mso-height-relative:page;" coordorigin="6909,91943" coordsize="312,438" o:gfxdata="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BFbXDfbAAAACwEAAA8AAAAAAAAAAQAgAAAAIgAA&#10;AGRycy9kb3ducmV2LnhtbFBLAQIUABQAAAAIAIdO4kBFkznYlAMAAEgIAAAOAAAAAAAAAAEAIAAA&#10;ACoBAABkcnMvZTJvRG9jLnhtbFBLBQYAAAAABgAGAFkBAAAwBwAAAAA=&#10;">
                      <o:lock v:ext="edit" aspectratio="f"/>
                      <v:shape id="_x0000_s1026" o:spid="_x0000_s1026" style="position:absolute;left:6909;top:92243;height:138;width:119;v-text-anchor:middle;" fillcolor="#FF0000" filled="t" stroked="t" coordsize="119,138" o:gfxdata="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pobe5AAAA2wAA&#10;AA8AAAAAAAAAAQAgAAAAIgAAAGRycy9kb3ducmV2LnhtbFBLAQIUABQAAAAIAIdO4kAzLwWeOwAA&#10;ADkAAAAQAAAAAAAAAAEAIAAAAAgBAABkcnMvc2hhcGV4bWwueG1sUEsFBgAAAAAGAAYAWwEAALID&#10;AAAAAA==&#10;" path="m0,52l45,52,59,0,73,52,118,52,82,85,96,137,59,105,22,137,36,85xe">
                        <v:path o:connectlocs="59,0;0,52;22,137;96,137;118,52" o:connectangles="247,164,82,82,0"/>
                        <v:fill on="t" focussize="0,0"/>
                        <v:stroke weight="2pt" color="#FF0000 [3204]" joinstyle="round"/>
                        <v:imagedata o:title=""/>
                        <o:lock v:ext="edit" aspectratio="f"/>
                      </v:shape>
                      <v:shape id="_x0000_s1026" o:spid="_x0000_s1026" o:spt="32" type="#_x0000_t32" style="position:absolute;left:6969;top:91943;flip:y;height:300;width:252;" filled="f" stroked="t" coordsize="21600,21600" o:gfxdata="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I3CbsAAADb&#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group>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2259330</wp:posOffset>
                      </wp:positionH>
                      <wp:positionV relativeFrom="paragraph">
                        <wp:posOffset>2538095</wp:posOffset>
                      </wp:positionV>
                      <wp:extent cx="757555" cy="241300"/>
                      <wp:effectExtent l="0" t="0" r="0" b="0"/>
                      <wp:wrapNone/>
                      <wp:docPr id="14" name="文本框 14"/>
                      <wp:cNvGraphicFramePr/>
                      <a:graphic xmlns:a="http://schemas.openxmlformats.org/drawingml/2006/main">
                        <a:graphicData uri="http://schemas.microsoft.com/office/word/2010/wordprocessingShape">
                          <wps:wsp>
                            <wps:cNvSpPr txBox="1"/>
                            <wps:spPr>
                              <a:xfrm>
                                <a:off x="4295140" y="5339715"/>
                                <a:ext cx="757555"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0AE98">
                                  <w:pPr>
                                    <w:rPr>
                                      <w:b/>
                                      <w:bCs/>
                                    </w:rPr>
                                  </w:pPr>
                                  <w:r>
                                    <w:rPr>
                                      <w:rFonts w:hint="eastAsia"/>
                                      <w:b/>
                                      <w:bCs/>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9pt;margin-top:199.85pt;height:19pt;width:59.65pt;z-index:251659264;mso-width-relative:page;mso-height-relative:page;" filled="f" stroked="f" coordsize="21600,21600" o:gfxdata="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heejPcAAAACwEAAA8AAAAA&#10;AAAAAQAgAAAAIgAAAGRycy9kb3ducmV2LnhtbFBLAQIUABQAAAAIAIdO4kC37o9GSQIAAHMEAAAO&#10;AAAAAAAAAAEAIAAAACsBAABkcnMvZTJvRG9jLnhtbFBLBQYAAAAABgAGAFkBAADmBQAAAAA=&#10;">
                      <v:fill on="f" focussize="0,0"/>
                      <v:stroke on="f" weight="0.5pt"/>
                      <v:imagedata o:title=""/>
                      <o:lock v:ext="edit" aspectratio="f"/>
                      <v:textbox>
                        <w:txbxContent>
                          <w:p w14:paraId="5670AE98">
                            <w:pPr>
                              <w:rPr>
                                <w:b/>
                                <w:bCs/>
                              </w:rPr>
                            </w:pPr>
                            <w:r>
                              <w:rPr>
                                <w:rFonts w:hint="eastAsia"/>
                                <w:b/>
                                <w:bCs/>
                              </w:rPr>
                              <w:t>项目位置</w:t>
                            </w:r>
                          </w:p>
                        </w:txbxContent>
                      </v:textbox>
                    </v:shape>
                  </w:pict>
                </mc:Fallback>
              </mc:AlternateContent>
            </w:r>
            <w:r>
              <w:drawing>
                <wp:inline distT="0" distB="0" distL="114300" distR="114300">
                  <wp:extent cx="4709795" cy="3569335"/>
                  <wp:effectExtent l="12700" t="12700" r="18415" b="2095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7"/>
                          <a:stretch>
                            <a:fillRect/>
                          </a:stretch>
                        </pic:blipFill>
                        <pic:spPr>
                          <a:xfrm rot="16200000">
                            <a:off x="0" y="0"/>
                            <a:ext cx="4709795" cy="3569335"/>
                          </a:xfrm>
                          <a:prstGeom prst="rect">
                            <a:avLst/>
                          </a:prstGeom>
                          <a:noFill/>
                          <a:ln w="12700">
                            <a:solidFill>
                              <a:schemeClr val="tx1"/>
                            </a:solidFill>
                          </a:ln>
                        </pic:spPr>
                      </pic:pic>
                    </a:graphicData>
                  </a:graphic>
                </wp:inline>
              </w:drawing>
            </w:r>
          </w:p>
          <w:p w14:paraId="7F18ED3B">
            <w:pPr>
              <w:pStyle w:val="53"/>
            </w:pPr>
            <w:r>
              <w:rPr>
                <w:rFonts w:hint="eastAsia"/>
              </w:rPr>
              <w:t>江西省</w:t>
            </w:r>
            <w:r>
              <w:t>环境管控单元</w:t>
            </w:r>
            <w:r>
              <w:rPr>
                <w:rFonts w:hint="eastAsia"/>
              </w:rPr>
              <w:t>分布图（2023版）</w:t>
            </w:r>
          </w:p>
          <w:p w14:paraId="452BF768">
            <w:pPr>
              <w:pStyle w:val="36"/>
              <w:ind w:firstLine="480"/>
              <w:rPr>
                <w:rFonts w:hint="default"/>
              </w:rPr>
            </w:pPr>
            <w:r>
              <w:rPr>
                <w:rFonts w:hint="default"/>
              </w:rPr>
              <w:t>本项目</w:t>
            </w:r>
            <w:r>
              <w:t>所有工程均</w:t>
            </w:r>
            <w:r>
              <w:rPr>
                <w:rFonts w:hint="default"/>
              </w:rPr>
              <w:t>位于</w:t>
            </w:r>
            <w:r>
              <w:t>重点管控单元。对照“江西省生态环境总体准入清单（2023版）”，重点管控单元生态环境准入要求如下：</w:t>
            </w:r>
          </w:p>
          <w:p w14:paraId="6464A773">
            <w:pPr>
              <w:pStyle w:val="52"/>
            </w:pPr>
            <w:r>
              <w:rPr>
                <w:rFonts w:hint="eastAsia"/>
              </w:rPr>
              <w:t>与江西省生态环境总体准入清单（2023版）相符性分析</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7"/>
              <w:gridCol w:w="498"/>
              <w:gridCol w:w="4365"/>
              <w:gridCol w:w="1582"/>
              <w:gridCol w:w="421"/>
            </w:tblGrid>
            <w:tr w14:paraId="0F510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tcBorders>
                    <w:tl2br w:val="nil"/>
                    <w:tr2bl w:val="nil"/>
                  </w:tcBorders>
                  <w:shd w:val="clear" w:color="auto" w:fill="auto"/>
                  <w:tcMar>
                    <w:left w:w="105" w:type="dxa"/>
                    <w:right w:w="105" w:type="dxa"/>
                  </w:tcMar>
                  <w:vAlign w:val="center"/>
                </w:tcPr>
                <w:p w14:paraId="7873A915">
                  <w:pPr>
                    <w:pBdr>
                      <w:top w:val="none" w:color="auto" w:sz="0" w:space="1"/>
                      <w:left w:val="none" w:color="auto" w:sz="0" w:space="4"/>
                      <w:bottom w:val="none" w:color="auto" w:sz="0" w:space="1"/>
                      <w:right w:val="none" w:color="auto" w:sz="0" w:space="4"/>
                    </w:pBdr>
                    <w:adjustRightInd w:val="0"/>
                    <w:snapToGrid w:val="0"/>
                    <w:jc w:val="center"/>
                    <w:rPr>
                      <w:b/>
                      <w:bCs/>
                      <w:szCs w:val="21"/>
                    </w:rPr>
                  </w:pPr>
                  <w:r>
                    <w:rPr>
                      <w:rFonts w:hint="eastAsia"/>
                      <w:b/>
                      <w:bCs/>
                      <w:szCs w:val="21"/>
                    </w:rPr>
                    <w:t>管控维度</w:t>
                  </w:r>
                </w:p>
              </w:tc>
              <w:tc>
                <w:tcPr>
                  <w:tcW w:w="500" w:type="dxa"/>
                  <w:tcBorders>
                    <w:tl2br w:val="nil"/>
                    <w:tr2bl w:val="nil"/>
                  </w:tcBorders>
                  <w:shd w:val="clear" w:color="auto" w:fill="auto"/>
                  <w:tcMar>
                    <w:left w:w="105" w:type="dxa"/>
                    <w:right w:w="105" w:type="dxa"/>
                  </w:tcMar>
                  <w:vAlign w:val="center"/>
                </w:tcPr>
                <w:p w14:paraId="37AFD7BD">
                  <w:pPr>
                    <w:pBdr>
                      <w:top w:val="none" w:color="auto" w:sz="0" w:space="1"/>
                      <w:left w:val="none" w:color="auto" w:sz="0" w:space="4"/>
                      <w:bottom w:val="none" w:color="auto" w:sz="0" w:space="1"/>
                      <w:right w:val="none" w:color="auto" w:sz="0" w:space="4"/>
                    </w:pBdr>
                    <w:adjustRightInd w:val="0"/>
                    <w:snapToGrid w:val="0"/>
                    <w:jc w:val="center"/>
                    <w:rPr>
                      <w:b/>
                      <w:bCs/>
                      <w:szCs w:val="21"/>
                    </w:rPr>
                  </w:pPr>
                  <w:r>
                    <w:rPr>
                      <w:rFonts w:hint="eastAsia"/>
                      <w:b/>
                      <w:bCs/>
                      <w:szCs w:val="21"/>
                    </w:rPr>
                    <w:t>序号</w:t>
                  </w:r>
                </w:p>
              </w:tc>
              <w:tc>
                <w:tcPr>
                  <w:tcW w:w="4440" w:type="dxa"/>
                  <w:tcBorders>
                    <w:tl2br w:val="nil"/>
                    <w:tr2bl w:val="nil"/>
                  </w:tcBorders>
                  <w:shd w:val="clear" w:color="auto" w:fill="auto"/>
                  <w:tcMar>
                    <w:left w:w="105" w:type="dxa"/>
                    <w:right w:w="105" w:type="dxa"/>
                  </w:tcMar>
                  <w:vAlign w:val="center"/>
                </w:tcPr>
                <w:p w14:paraId="2DD1FEE1">
                  <w:pPr>
                    <w:pBdr>
                      <w:top w:val="none" w:color="auto" w:sz="0" w:space="1"/>
                      <w:left w:val="none" w:color="auto" w:sz="0" w:space="4"/>
                      <w:bottom w:val="none" w:color="auto" w:sz="0" w:space="1"/>
                      <w:right w:val="none" w:color="auto" w:sz="0" w:space="4"/>
                    </w:pBdr>
                    <w:adjustRightInd w:val="0"/>
                    <w:snapToGrid w:val="0"/>
                    <w:jc w:val="center"/>
                    <w:rPr>
                      <w:b/>
                      <w:bCs/>
                      <w:szCs w:val="21"/>
                    </w:rPr>
                  </w:pPr>
                  <w:r>
                    <w:rPr>
                      <w:rFonts w:hint="eastAsia"/>
                      <w:b/>
                      <w:bCs/>
                      <w:szCs w:val="21"/>
                    </w:rPr>
                    <w:t>生态环境准入要求</w:t>
                  </w:r>
                </w:p>
              </w:tc>
              <w:tc>
                <w:tcPr>
                  <w:tcW w:w="1603" w:type="dxa"/>
                  <w:tcBorders>
                    <w:tl2br w:val="nil"/>
                    <w:tr2bl w:val="nil"/>
                  </w:tcBorders>
                  <w:shd w:val="clear" w:color="auto" w:fill="auto"/>
                  <w:tcMar>
                    <w:left w:w="105" w:type="dxa"/>
                    <w:right w:w="105" w:type="dxa"/>
                  </w:tcMar>
                  <w:vAlign w:val="center"/>
                </w:tcPr>
                <w:p w14:paraId="50103EDB">
                  <w:pPr>
                    <w:pBdr>
                      <w:top w:val="none" w:color="auto" w:sz="0" w:space="1"/>
                      <w:left w:val="none" w:color="auto" w:sz="0" w:space="4"/>
                      <w:bottom w:val="none" w:color="auto" w:sz="0" w:space="1"/>
                      <w:right w:val="none" w:color="auto" w:sz="0" w:space="4"/>
                    </w:pBdr>
                    <w:adjustRightInd w:val="0"/>
                    <w:snapToGrid w:val="0"/>
                    <w:jc w:val="center"/>
                    <w:rPr>
                      <w:b/>
                      <w:bCs/>
                      <w:szCs w:val="21"/>
                    </w:rPr>
                  </w:pPr>
                  <w:r>
                    <w:rPr>
                      <w:rFonts w:hint="eastAsia"/>
                      <w:b/>
                      <w:bCs/>
                      <w:szCs w:val="21"/>
                    </w:rPr>
                    <w:t>项目情况</w:t>
                  </w:r>
                </w:p>
              </w:tc>
              <w:tc>
                <w:tcPr>
                  <w:tcW w:w="421" w:type="dxa"/>
                  <w:tcBorders>
                    <w:tl2br w:val="nil"/>
                    <w:tr2bl w:val="nil"/>
                  </w:tcBorders>
                  <w:shd w:val="clear" w:color="auto" w:fill="auto"/>
                  <w:tcMar>
                    <w:left w:w="105" w:type="dxa"/>
                    <w:right w:w="105" w:type="dxa"/>
                  </w:tcMar>
                  <w:vAlign w:val="center"/>
                </w:tcPr>
                <w:p w14:paraId="35E80E24">
                  <w:pPr>
                    <w:pBdr>
                      <w:top w:val="none" w:color="auto" w:sz="0" w:space="1"/>
                      <w:left w:val="none" w:color="auto" w:sz="0" w:space="4"/>
                      <w:bottom w:val="none" w:color="auto" w:sz="0" w:space="1"/>
                      <w:right w:val="none" w:color="auto" w:sz="0" w:space="4"/>
                    </w:pBdr>
                    <w:adjustRightInd w:val="0"/>
                    <w:snapToGrid w:val="0"/>
                    <w:jc w:val="center"/>
                    <w:rPr>
                      <w:b/>
                      <w:bCs/>
                      <w:szCs w:val="21"/>
                    </w:rPr>
                  </w:pPr>
                  <w:r>
                    <w:rPr>
                      <w:rFonts w:hint="eastAsia"/>
                      <w:b/>
                      <w:bCs/>
                      <w:szCs w:val="21"/>
                    </w:rPr>
                    <w:t>相符性</w:t>
                  </w:r>
                </w:p>
              </w:tc>
            </w:tr>
            <w:tr w14:paraId="5E198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restart"/>
                  <w:tcBorders>
                    <w:tl2br w:val="nil"/>
                    <w:tr2bl w:val="nil"/>
                  </w:tcBorders>
                  <w:shd w:val="clear" w:color="auto" w:fill="auto"/>
                  <w:tcMar>
                    <w:left w:w="105" w:type="dxa"/>
                    <w:right w:w="105" w:type="dxa"/>
                  </w:tcMar>
                  <w:vAlign w:val="center"/>
                </w:tcPr>
                <w:p w14:paraId="34F0396A">
                  <w:pPr>
                    <w:pBdr>
                      <w:top w:val="none" w:color="auto" w:sz="0" w:space="1"/>
                      <w:left w:val="none" w:color="auto" w:sz="0" w:space="4"/>
                      <w:bottom w:val="none" w:color="auto" w:sz="0" w:space="1"/>
                      <w:right w:val="none" w:color="auto" w:sz="0" w:space="4"/>
                    </w:pBdr>
                    <w:adjustRightInd w:val="0"/>
                    <w:snapToGrid w:val="0"/>
                    <w:jc w:val="center"/>
                    <w:rPr>
                      <w:szCs w:val="21"/>
                    </w:rPr>
                  </w:pPr>
                  <w:r>
                    <w:rPr>
                      <w:szCs w:val="21"/>
                    </w:rPr>
                    <w:t>空间布局约束</w:t>
                  </w:r>
                </w:p>
              </w:tc>
              <w:tc>
                <w:tcPr>
                  <w:tcW w:w="500" w:type="dxa"/>
                  <w:tcBorders>
                    <w:tl2br w:val="nil"/>
                    <w:tr2bl w:val="nil"/>
                  </w:tcBorders>
                  <w:shd w:val="clear" w:color="auto" w:fill="auto"/>
                  <w:tcMar>
                    <w:left w:w="105" w:type="dxa"/>
                    <w:right w:w="105" w:type="dxa"/>
                  </w:tcMar>
                  <w:vAlign w:val="center"/>
                </w:tcPr>
                <w:p w14:paraId="6649BA40">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w:t>
                  </w:r>
                </w:p>
              </w:tc>
              <w:tc>
                <w:tcPr>
                  <w:tcW w:w="4440" w:type="dxa"/>
                  <w:tcBorders>
                    <w:tl2br w:val="nil"/>
                    <w:tr2bl w:val="nil"/>
                  </w:tcBorders>
                  <w:shd w:val="clear" w:color="auto" w:fill="auto"/>
                  <w:tcMar>
                    <w:left w:w="105" w:type="dxa"/>
                    <w:right w:w="105" w:type="dxa"/>
                  </w:tcMar>
                  <w:vAlign w:val="center"/>
                </w:tcPr>
                <w:p w14:paraId="79A3C36D">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禁止新、扩建不符合国家石化、现代煤化工等产业布局规划的项目。禁止新建、扩建法律法规和相关政策明令禁止的落后产能项目。禁止开展投资建设属于淘汰类的项目及其相关活动，禁止开展投资新建、扩建属于限制类的项目及其相关活动。禁止新建、扩建不符合国家产能置换要求的钢铁、电解铝、水泥熟料、平板玻璃、船舶等严重过剩产能行业的项目。对确有必要建设的，必须严格执行产能置换实施办法，实施减量或等量置换，依法依规办理有关手续。禁止新建、扩建不符合要求的高耗能高排放项目。</w:t>
                  </w:r>
                </w:p>
              </w:tc>
              <w:tc>
                <w:tcPr>
                  <w:tcW w:w="1603" w:type="dxa"/>
                  <w:tcBorders>
                    <w:tl2br w:val="nil"/>
                    <w:tr2bl w:val="nil"/>
                  </w:tcBorders>
                  <w:shd w:val="clear" w:color="auto" w:fill="auto"/>
                  <w:tcMar>
                    <w:left w:w="105" w:type="dxa"/>
                    <w:right w:w="105" w:type="dxa"/>
                  </w:tcMar>
                  <w:vAlign w:val="center"/>
                </w:tcPr>
                <w:p w14:paraId="65AE059B">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项目工程</w:t>
                  </w:r>
                  <w:r>
                    <w:rPr>
                      <w:rFonts w:hint="eastAsia"/>
                      <w:szCs w:val="21"/>
                      <w:lang w:eastAsia="zh-CN"/>
                    </w:rPr>
                    <w:t>不</w:t>
                  </w:r>
                  <w:r>
                    <w:rPr>
                      <w:rFonts w:hint="eastAsia"/>
                      <w:szCs w:val="21"/>
                    </w:rPr>
                    <w:t>属于石化、煤化工项目，不属于落后产能项目，不属于限制类和淘汰类项目，不属于高耗能、高排放项目</w:t>
                  </w:r>
                </w:p>
              </w:tc>
              <w:tc>
                <w:tcPr>
                  <w:tcW w:w="421" w:type="dxa"/>
                  <w:tcBorders>
                    <w:tl2br w:val="nil"/>
                    <w:tr2bl w:val="nil"/>
                  </w:tcBorders>
                  <w:shd w:val="clear" w:color="auto" w:fill="auto"/>
                  <w:tcMar>
                    <w:left w:w="105" w:type="dxa"/>
                    <w:right w:w="105" w:type="dxa"/>
                  </w:tcMar>
                  <w:vAlign w:val="center"/>
                </w:tcPr>
                <w:p w14:paraId="3F0B039F">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5D1EE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41A2360E">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48090D16">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2</w:t>
                  </w:r>
                </w:p>
              </w:tc>
              <w:tc>
                <w:tcPr>
                  <w:tcW w:w="4440" w:type="dxa"/>
                  <w:tcBorders>
                    <w:tl2br w:val="nil"/>
                    <w:tr2bl w:val="nil"/>
                  </w:tcBorders>
                  <w:shd w:val="clear" w:color="auto" w:fill="auto"/>
                  <w:tcMar>
                    <w:left w:w="105" w:type="dxa"/>
                    <w:right w:w="105" w:type="dxa"/>
                  </w:tcMar>
                </w:tcPr>
                <w:p w14:paraId="0672D278">
                  <w:pPr>
                    <w:pStyle w:val="38"/>
                  </w:pPr>
                  <w:r>
                    <w:t>县级及以上城市建成区原则上不再新建35蒸吨/小时及以下燃煤锅炉。</w:t>
                  </w:r>
                </w:p>
              </w:tc>
              <w:tc>
                <w:tcPr>
                  <w:tcW w:w="1603" w:type="dxa"/>
                  <w:tcBorders>
                    <w:tl2br w:val="nil"/>
                    <w:tr2bl w:val="nil"/>
                  </w:tcBorders>
                  <w:shd w:val="clear" w:color="auto" w:fill="auto"/>
                  <w:tcMar>
                    <w:left w:w="105" w:type="dxa"/>
                    <w:right w:w="105" w:type="dxa"/>
                  </w:tcMar>
                  <w:vAlign w:val="center"/>
                </w:tcPr>
                <w:p w14:paraId="52E0634A">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项目工程</w:t>
                  </w:r>
                  <w:r>
                    <w:rPr>
                      <w:rFonts w:hint="eastAsia"/>
                      <w:szCs w:val="21"/>
                      <w:lang w:eastAsia="zh-CN"/>
                    </w:rPr>
                    <w:t>不</w:t>
                  </w:r>
                  <w:r>
                    <w:rPr>
                      <w:rFonts w:hint="eastAsia"/>
                      <w:szCs w:val="21"/>
                    </w:rPr>
                    <w:t>涉及燃煤锅炉</w:t>
                  </w:r>
                </w:p>
              </w:tc>
              <w:tc>
                <w:tcPr>
                  <w:tcW w:w="421" w:type="dxa"/>
                  <w:tcBorders>
                    <w:tl2br w:val="nil"/>
                    <w:tr2bl w:val="nil"/>
                  </w:tcBorders>
                  <w:shd w:val="clear" w:color="auto" w:fill="auto"/>
                  <w:tcMar>
                    <w:left w:w="105" w:type="dxa"/>
                    <w:right w:w="105" w:type="dxa"/>
                  </w:tcMar>
                  <w:vAlign w:val="center"/>
                </w:tcPr>
                <w:p w14:paraId="567FBE85">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06F68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6C6B652F">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0A6D4DFE">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3</w:t>
                  </w:r>
                </w:p>
              </w:tc>
              <w:tc>
                <w:tcPr>
                  <w:tcW w:w="4440" w:type="dxa"/>
                  <w:tcBorders>
                    <w:tl2br w:val="nil"/>
                    <w:tr2bl w:val="nil"/>
                  </w:tcBorders>
                  <w:shd w:val="clear" w:color="auto" w:fill="auto"/>
                  <w:tcMar>
                    <w:left w:w="105" w:type="dxa"/>
                    <w:right w:w="105" w:type="dxa"/>
                  </w:tcMar>
                </w:tcPr>
                <w:p w14:paraId="0CC240E6">
                  <w:pPr>
                    <w:pStyle w:val="38"/>
                  </w:pPr>
                  <w:r>
                    <w:t>禁止在长江干支流、重要湖泊岸线1公里范围内新建、扩建化工园区和化工项目。禁止在合规园区外新建、扩建钢铁、石化、化工、焦化、建材、有色、制浆造纸等高污染项目。</w:t>
                  </w:r>
                </w:p>
              </w:tc>
              <w:tc>
                <w:tcPr>
                  <w:tcW w:w="1603" w:type="dxa"/>
                  <w:tcBorders>
                    <w:tl2br w:val="nil"/>
                    <w:tr2bl w:val="nil"/>
                  </w:tcBorders>
                  <w:shd w:val="clear" w:color="auto" w:fill="auto"/>
                  <w:tcMar>
                    <w:left w:w="105" w:type="dxa"/>
                    <w:right w:w="105" w:type="dxa"/>
                  </w:tcMar>
                  <w:vAlign w:val="center"/>
                </w:tcPr>
                <w:p w14:paraId="6980F51A">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不涉及</w:t>
                  </w:r>
                </w:p>
              </w:tc>
              <w:tc>
                <w:tcPr>
                  <w:tcW w:w="421" w:type="dxa"/>
                  <w:tcBorders>
                    <w:tl2br w:val="nil"/>
                    <w:tr2bl w:val="nil"/>
                  </w:tcBorders>
                  <w:shd w:val="clear" w:color="auto" w:fill="auto"/>
                  <w:tcMar>
                    <w:left w:w="105" w:type="dxa"/>
                    <w:right w:w="105" w:type="dxa"/>
                  </w:tcMar>
                  <w:vAlign w:val="center"/>
                </w:tcPr>
                <w:p w14:paraId="520DC584">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3252D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000A923A">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5E8ED464">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4</w:t>
                  </w:r>
                </w:p>
              </w:tc>
              <w:tc>
                <w:tcPr>
                  <w:tcW w:w="4440" w:type="dxa"/>
                  <w:tcBorders>
                    <w:tl2br w:val="nil"/>
                    <w:tr2bl w:val="nil"/>
                  </w:tcBorders>
                  <w:shd w:val="clear" w:color="auto" w:fill="auto"/>
                  <w:tcMar>
                    <w:left w:w="105" w:type="dxa"/>
                    <w:right w:w="105" w:type="dxa"/>
                  </w:tcMar>
                </w:tcPr>
                <w:p w14:paraId="2F360D29">
                  <w:pPr>
                    <w:pStyle w:val="38"/>
                  </w:pPr>
                  <w:r>
                    <w:t>禁止建设不符合国家和省级港口布局规划以及港口总体规划的码头项目。</w:t>
                  </w:r>
                </w:p>
              </w:tc>
              <w:tc>
                <w:tcPr>
                  <w:tcW w:w="1603" w:type="dxa"/>
                  <w:tcBorders>
                    <w:tl2br w:val="nil"/>
                    <w:tr2bl w:val="nil"/>
                  </w:tcBorders>
                  <w:shd w:val="clear" w:color="auto" w:fill="auto"/>
                  <w:tcMar>
                    <w:left w:w="105" w:type="dxa"/>
                    <w:right w:w="105" w:type="dxa"/>
                  </w:tcMar>
                  <w:vAlign w:val="center"/>
                </w:tcPr>
                <w:p w14:paraId="635B8E27">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不涉及</w:t>
                  </w:r>
                </w:p>
              </w:tc>
              <w:tc>
                <w:tcPr>
                  <w:tcW w:w="421" w:type="dxa"/>
                  <w:tcBorders>
                    <w:tl2br w:val="nil"/>
                    <w:tr2bl w:val="nil"/>
                  </w:tcBorders>
                  <w:shd w:val="clear" w:color="auto" w:fill="auto"/>
                  <w:tcMar>
                    <w:left w:w="105" w:type="dxa"/>
                    <w:right w:w="105" w:type="dxa"/>
                  </w:tcMar>
                  <w:vAlign w:val="center"/>
                </w:tcPr>
                <w:p w14:paraId="5EE293DC">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62635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306CF0B2">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22C7195A">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5</w:t>
                  </w:r>
                </w:p>
              </w:tc>
              <w:tc>
                <w:tcPr>
                  <w:tcW w:w="4440" w:type="dxa"/>
                  <w:tcBorders>
                    <w:tl2br w:val="nil"/>
                    <w:tr2bl w:val="nil"/>
                  </w:tcBorders>
                  <w:shd w:val="clear" w:color="auto" w:fill="auto"/>
                  <w:tcMar>
                    <w:left w:w="105" w:type="dxa"/>
                    <w:right w:w="105" w:type="dxa"/>
                  </w:tcMar>
                </w:tcPr>
                <w:p w14:paraId="0B9BC204">
                  <w:pPr>
                    <w:pStyle w:val="38"/>
                  </w:pPr>
                  <w:r>
                    <w:t>禁止在江河、湖泊、运河、渠道、水库最高水位线以下的滩地和岸坡堆放、存贮固体废弃物和其他污染物。</w:t>
                  </w:r>
                </w:p>
              </w:tc>
              <w:tc>
                <w:tcPr>
                  <w:tcW w:w="1603" w:type="dxa"/>
                  <w:tcBorders>
                    <w:tl2br w:val="nil"/>
                    <w:tr2bl w:val="nil"/>
                  </w:tcBorders>
                  <w:shd w:val="clear" w:color="auto" w:fill="auto"/>
                  <w:tcMar>
                    <w:left w:w="105" w:type="dxa"/>
                    <w:right w:w="105" w:type="dxa"/>
                  </w:tcMar>
                  <w:vAlign w:val="center"/>
                </w:tcPr>
                <w:p w14:paraId="5C987FB3">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不涉及</w:t>
                  </w:r>
                </w:p>
              </w:tc>
              <w:tc>
                <w:tcPr>
                  <w:tcW w:w="421" w:type="dxa"/>
                  <w:tcBorders>
                    <w:tl2br w:val="nil"/>
                    <w:tr2bl w:val="nil"/>
                  </w:tcBorders>
                  <w:shd w:val="clear" w:color="auto" w:fill="auto"/>
                  <w:tcMar>
                    <w:left w:w="105" w:type="dxa"/>
                    <w:right w:w="105" w:type="dxa"/>
                  </w:tcMar>
                  <w:vAlign w:val="center"/>
                </w:tcPr>
                <w:p w14:paraId="21A0D3EF">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52541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5AAA19A6">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3A6965A5">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6</w:t>
                  </w:r>
                </w:p>
              </w:tc>
              <w:tc>
                <w:tcPr>
                  <w:tcW w:w="4440" w:type="dxa"/>
                  <w:tcBorders>
                    <w:tl2br w:val="nil"/>
                    <w:tr2bl w:val="nil"/>
                  </w:tcBorders>
                  <w:shd w:val="clear" w:color="auto" w:fill="auto"/>
                  <w:tcMar>
                    <w:left w:w="105" w:type="dxa"/>
                    <w:right w:w="105" w:type="dxa"/>
                  </w:tcMar>
                </w:tcPr>
                <w:p w14:paraId="4D9A0B14">
                  <w:pPr>
                    <w:pStyle w:val="38"/>
                  </w:pPr>
                  <w:r>
                    <w:t>城市建成区内人口密集区、环境脆弱敏感区周边的钢铁、石油、化工、有色金属、水泥、平板玻璃、建筑陶瓷等行业中的高排放、高污染项目，应当逐步进行搬迁、改造或者转型、退出。</w:t>
                  </w:r>
                </w:p>
              </w:tc>
              <w:tc>
                <w:tcPr>
                  <w:tcW w:w="1603" w:type="dxa"/>
                  <w:tcBorders>
                    <w:tl2br w:val="nil"/>
                    <w:tr2bl w:val="nil"/>
                  </w:tcBorders>
                  <w:shd w:val="clear" w:color="auto" w:fill="auto"/>
                  <w:tcMar>
                    <w:left w:w="105" w:type="dxa"/>
                    <w:right w:w="105" w:type="dxa"/>
                  </w:tcMar>
                  <w:vAlign w:val="center"/>
                </w:tcPr>
                <w:p w14:paraId="1ACE4485">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不涉及</w:t>
                  </w:r>
                </w:p>
              </w:tc>
              <w:tc>
                <w:tcPr>
                  <w:tcW w:w="421" w:type="dxa"/>
                  <w:tcBorders>
                    <w:tl2br w:val="nil"/>
                    <w:tr2bl w:val="nil"/>
                  </w:tcBorders>
                  <w:shd w:val="clear" w:color="auto" w:fill="auto"/>
                  <w:tcMar>
                    <w:left w:w="105" w:type="dxa"/>
                    <w:right w:w="105" w:type="dxa"/>
                  </w:tcMar>
                  <w:vAlign w:val="center"/>
                </w:tcPr>
                <w:p w14:paraId="77D2BFB4">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6324A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4BB81D9F">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713B27AE">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7</w:t>
                  </w:r>
                </w:p>
              </w:tc>
              <w:tc>
                <w:tcPr>
                  <w:tcW w:w="4440" w:type="dxa"/>
                  <w:tcBorders>
                    <w:tl2br w:val="nil"/>
                    <w:tr2bl w:val="nil"/>
                  </w:tcBorders>
                  <w:shd w:val="clear" w:color="auto" w:fill="auto"/>
                  <w:tcMar>
                    <w:left w:w="105" w:type="dxa"/>
                    <w:right w:w="105" w:type="dxa"/>
                  </w:tcMar>
                </w:tcPr>
                <w:p w14:paraId="33F8141A">
                  <w:pPr>
                    <w:pStyle w:val="38"/>
                  </w:pPr>
                  <w:r>
                    <w:t>禁止在居民区和学校、医院、疗养院、养老院等单位周边新建、改扩建可能造成土壤污染的建设项目；在永久基本农田集中区域，不得新建可能造成土壤污染的项目，已经建成的，限期关闭拆除。</w:t>
                  </w:r>
                </w:p>
              </w:tc>
              <w:tc>
                <w:tcPr>
                  <w:tcW w:w="1603" w:type="dxa"/>
                  <w:tcBorders>
                    <w:tl2br w:val="nil"/>
                    <w:tr2bl w:val="nil"/>
                  </w:tcBorders>
                  <w:shd w:val="clear" w:color="auto" w:fill="auto"/>
                  <w:tcMar>
                    <w:left w:w="105" w:type="dxa"/>
                    <w:right w:w="105" w:type="dxa"/>
                  </w:tcMar>
                  <w:vAlign w:val="center"/>
                </w:tcPr>
                <w:p w14:paraId="02B5CD48">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不涉及</w:t>
                  </w:r>
                </w:p>
              </w:tc>
              <w:tc>
                <w:tcPr>
                  <w:tcW w:w="421" w:type="dxa"/>
                  <w:tcBorders>
                    <w:tl2br w:val="nil"/>
                    <w:tr2bl w:val="nil"/>
                  </w:tcBorders>
                  <w:shd w:val="clear" w:color="auto" w:fill="auto"/>
                  <w:tcMar>
                    <w:left w:w="105" w:type="dxa"/>
                    <w:right w:w="105" w:type="dxa"/>
                  </w:tcMar>
                  <w:vAlign w:val="center"/>
                </w:tcPr>
                <w:p w14:paraId="1E19F444">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5B25F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restart"/>
                  <w:tcBorders>
                    <w:tl2br w:val="nil"/>
                    <w:tr2bl w:val="nil"/>
                  </w:tcBorders>
                  <w:shd w:val="clear" w:color="auto" w:fill="auto"/>
                  <w:tcMar>
                    <w:left w:w="105" w:type="dxa"/>
                    <w:right w:w="105" w:type="dxa"/>
                  </w:tcMar>
                  <w:vAlign w:val="center"/>
                </w:tcPr>
                <w:p w14:paraId="0818B83C">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污染物排放管控</w:t>
                  </w:r>
                </w:p>
              </w:tc>
              <w:tc>
                <w:tcPr>
                  <w:tcW w:w="500" w:type="dxa"/>
                  <w:tcBorders>
                    <w:tl2br w:val="nil"/>
                    <w:tr2bl w:val="nil"/>
                  </w:tcBorders>
                  <w:shd w:val="clear" w:color="auto" w:fill="auto"/>
                  <w:tcMar>
                    <w:left w:w="105" w:type="dxa"/>
                    <w:right w:w="105" w:type="dxa"/>
                  </w:tcMar>
                  <w:vAlign w:val="center"/>
                </w:tcPr>
                <w:p w14:paraId="4D1500B8">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8</w:t>
                  </w:r>
                </w:p>
              </w:tc>
              <w:tc>
                <w:tcPr>
                  <w:tcW w:w="4440" w:type="dxa"/>
                  <w:tcBorders>
                    <w:tl2br w:val="nil"/>
                    <w:tr2bl w:val="nil"/>
                  </w:tcBorders>
                  <w:shd w:val="clear" w:color="auto" w:fill="auto"/>
                  <w:tcMar>
                    <w:left w:w="105" w:type="dxa"/>
                    <w:right w:w="105" w:type="dxa"/>
                  </w:tcMar>
                </w:tcPr>
                <w:p w14:paraId="4B2CD7B4">
                  <w:pPr>
                    <w:pStyle w:val="38"/>
                  </w:pPr>
                  <w:r>
                    <w:t>城镇开发边界内划定的特别用途区原则上禁止任何新增城镇集中建设行为，实施建设用地总量控制，原则上不得新增除市政基础设施、交通物流基础设施、生态修复工程、必要的配套及游憩设施外的其他城镇建设用地。</w:t>
                  </w:r>
                </w:p>
              </w:tc>
              <w:tc>
                <w:tcPr>
                  <w:tcW w:w="1603" w:type="dxa"/>
                  <w:tcBorders>
                    <w:tl2br w:val="nil"/>
                    <w:tr2bl w:val="nil"/>
                  </w:tcBorders>
                  <w:shd w:val="clear" w:color="auto" w:fill="auto"/>
                  <w:tcMar>
                    <w:left w:w="105" w:type="dxa"/>
                    <w:right w:w="105" w:type="dxa"/>
                  </w:tcMar>
                  <w:vAlign w:val="center"/>
                </w:tcPr>
                <w:p w14:paraId="42324BBC">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不涉及</w:t>
                  </w:r>
                </w:p>
              </w:tc>
              <w:tc>
                <w:tcPr>
                  <w:tcW w:w="421" w:type="dxa"/>
                  <w:tcBorders>
                    <w:tl2br w:val="nil"/>
                    <w:tr2bl w:val="nil"/>
                  </w:tcBorders>
                  <w:shd w:val="clear" w:color="auto" w:fill="auto"/>
                  <w:tcMar>
                    <w:left w:w="105" w:type="dxa"/>
                    <w:right w:w="105" w:type="dxa"/>
                  </w:tcMar>
                  <w:vAlign w:val="center"/>
                </w:tcPr>
                <w:p w14:paraId="6DFAD039">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3F2D4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52E1AF4A">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3E36BB2C">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9</w:t>
                  </w:r>
                </w:p>
              </w:tc>
              <w:tc>
                <w:tcPr>
                  <w:tcW w:w="4440" w:type="dxa"/>
                  <w:tcBorders>
                    <w:tl2br w:val="nil"/>
                    <w:tr2bl w:val="nil"/>
                  </w:tcBorders>
                  <w:shd w:val="clear" w:color="auto" w:fill="auto"/>
                  <w:tcMar>
                    <w:left w:w="105" w:type="dxa"/>
                    <w:right w:w="105" w:type="dxa"/>
                  </w:tcMar>
                </w:tcPr>
                <w:p w14:paraId="60AEFA17">
                  <w:pPr>
                    <w:pStyle w:val="38"/>
                  </w:pPr>
                  <w:r>
                    <w:t>到2025年，全省单位生产总值能源消耗比2020年下降14%，力争达到14.5%，能源消费总量得到合理控制，氮氧化物、挥发性有机物、化学需氧量、氨氮重点工程减排量分别达到2.73万吨、1.41万吨、8.41万吨、0.55万吨。</w:t>
                  </w:r>
                </w:p>
              </w:tc>
              <w:tc>
                <w:tcPr>
                  <w:tcW w:w="1603" w:type="dxa"/>
                  <w:tcBorders>
                    <w:tl2br w:val="nil"/>
                    <w:tr2bl w:val="nil"/>
                  </w:tcBorders>
                  <w:shd w:val="clear" w:color="auto" w:fill="auto"/>
                  <w:tcMar>
                    <w:left w:w="105" w:type="dxa"/>
                    <w:right w:w="105" w:type="dxa"/>
                  </w:tcMar>
                  <w:vAlign w:val="center"/>
                </w:tcPr>
                <w:p w14:paraId="40C82998">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项目工程均非高能耗、高排放项目</w:t>
                  </w:r>
                </w:p>
              </w:tc>
              <w:tc>
                <w:tcPr>
                  <w:tcW w:w="421" w:type="dxa"/>
                  <w:tcBorders>
                    <w:tl2br w:val="nil"/>
                    <w:tr2bl w:val="nil"/>
                  </w:tcBorders>
                  <w:shd w:val="clear" w:color="auto" w:fill="auto"/>
                  <w:tcMar>
                    <w:left w:w="105" w:type="dxa"/>
                    <w:right w:w="105" w:type="dxa"/>
                  </w:tcMar>
                  <w:vAlign w:val="center"/>
                </w:tcPr>
                <w:p w14:paraId="48F9F2F5">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4D67C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09ABF88E">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21D5F2DD">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10</w:t>
                  </w:r>
                </w:p>
              </w:tc>
              <w:tc>
                <w:tcPr>
                  <w:tcW w:w="4440" w:type="dxa"/>
                  <w:tcBorders>
                    <w:tl2br w:val="nil"/>
                    <w:tr2bl w:val="nil"/>
                  </w:tcBorders>
                  <w:shd w:val="clear" w:color="auto" w:fill="auto"/>
                  <w:tcMar>
                    <w:left w:w="105" w:type="dxa"/>
                    <w:right w:w="105" w:type="dxa"/>
                  </w:tcMar>
                </w:tcPr>
                <w:p w14:paraId="5B1A9A3E">
                  <w:pPr>
                    <w:pStyle w:val="38"/>
                  </w:pPr>
                  <w:r>
                    <w:t>禁止新建不符合国家产业政策的小型造纸、制革、印染、染料、炼焦、炼硫、炼砷、炼汞、炼油、电镀、农药、石棉、水泥、玻璃、钢铁、火电以及其他严重污染水环境的生产项目。</w:t>
                  </w:r>
                </w:p>
              </w:tc>
              <w:tc>
                <w:tcPr>
                  <w:tcW w:w="1603" w:type="dxa"/>
                  <w:tcBorders>
                    <w:tl2br w:val="nil"/>
                    <w:tr2bl w:val="nil"/>
                  </w:tcBorders>
                  <w:shd w:val="clear" w:color="auto" w:fill="auto"/>
                  <w:tcMar>
                    <w:left w:w="105" w:type="dxa"/>
                    <w:right w:w="105" w:type="dxa"/>
                  </w:tcMar>
                  <w:vAlign w:val="center"/>
                </w:tcPr>
                <w:p w14:paraId="2B438DF3">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不涉及</w:t>
                  </w:r>
                </w:p>
              </w:tc>
              <w:tc>
                <w:tcPr>
                  <w:tcW w:w="421" w:type="dxa"/>
                  <w:tcBorders>
                    <w:tl2br w:val="nil"/>
                    <w:tr2bl w:val="nil"/>
                  </w:tcBorders>
                  <w:shd w:val="clear" w:color="auto" w:fill="auto"/>
                  <w:tcMar>
                    <w:left w:w="105" w:type="dxa"/>
                    <w:right w:w="105" w:type="dxa"/>
                  </w:tcMar>
                  <w:vAlign w:val="center"/>
                </w:tcPr>
                <w:p w14:paraId="0CFD6220">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1169D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02A0AE6C">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652F9666">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11</w:t>
                  </w:r>
                </w:p>
              </w:tc>
              <w:tc>
                <w:tcPr>
                  <w:tcW w:w="4440" w:type="dxa"/>
                  <w:tcBorders>
                    <w:tl2br w:val="nil"/>
                    <w:tr2bl w:val="nil"/>
                  </w:tcBorders>
                  <w:shd w:val="clear" w:color="auto" w:fill="auto"/>
                  <w:tcMar>
                    <w:left w:w="105" w:type="dxa"/>
                    <w:right w:w="105" w:type="dxa"/>
                  </w:tcMar>
                  <w:vAlign w:val="center"/>
                </w:tcPr>
                <w:p w14:paraId="2AF47983">
                  <w:pPr>
                    <w:pStyle w:val="38"/>
                  </w:pPr>
                  <w:r>
                    <w:t>新建、改建、扩建造纸、焦化、氮肥、有色金属、印染、农副食品加工、原料药制造、制革、农药、电镀等重点行业建设项目，实行主要污染物排放等量或减量置换。</w:t>
                  </w:r>
                </w:p>
              </w:tc>
              <w:tc>
                <w:tcPr>
                  <w:tcW w:w="1603" w:type="dxa"/>
                  <w:tcBorders>
                    <w:tl2br w:val="nil"/>
                    <w:tr2bl w:val="nil"/>
                  </w:tcBorders>
                  <w:shd w:val="clear" w:color="auto" w:fill="auto"/>
                  <w:tcMar>
                    <w:left w:w="105" w:type="dxa"/>
                    <w:right w:w="105" w:type="dxa"/>
                  </w:tcMar>
                  <w:vAlign w:val="center"/>
                </w:tcPr>
                <w:p w14:paraId="12A06604">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不涉及</w:t>
                  </w:r>
                </w:p>
              </w:tc>
              <w:tc>
                <w:tcPr>
                  <w:tcW w:w="421" w:type="dxa"/>
                  <w:tcBorders>
                    <w:tl2br w:val="nil"/>
                    <w:tr2bl w:val="nil"/>
                  </w:tcBorders>
                  <w:shd w:val="clear" w:color="auto" w:fill="auto"/>
                  <w:tcMar>
                    <w:left w:w="105" w:type="dxa"/>
                    <w:right w:w="105" w:type="dxa"/>
                  </w:tcMar>
                  <w:vAlign w:val="center"/>
                </w:tcPr>
                <w:p w14:paraId="2F898A0B">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0565C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4BEB0818">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47D76ECA">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12</w:t>
                  </w:r>
                </w:p>
              </w:tc>
              <w:tc>
                <w:tcPr>
                  <w:tcW w:w="4440" w:type="dxa"/>
                  <w:tcBorders>
                    <w:tl2br w:val="nil"/>
                    <w:tr2bl w:val="nil"/>
                  </w:tcBorders>
                  <w:shd w:val="clear" w:color="auto" w:fill="auto"/>
                  <w:tcMar>
                    <w:left w:w="105" w:type="dxa"/>
                    <w:right w:w="105" w:type="dxa"/>
                  </w:tcMar>
                  <w:vAlign w:val="center"/>
                </w:tcPr>
                <w:p w14:paraId="13205D54">
                  <w:pPr>
                    <w:pStyle w:val="38"/>
                  </w:pPr>
                  <w:r>
                    <w:t>严格落实钢铁、水泥、平板玻璃产能减量置换政策。推进钢铁、水泥、焦化行业及燃煤锅炉超低排放改造。</w:t>
                  </w:r>
                </w:p>
              </w:tc>
              <w:tc>
                <w:tcPr>
                  <w:tcW w:w="1603" w:type="dxa"/>
                  <w:tcBorders>
                    <w:tl2br w:val="nil"/>
                    <w:tr2bl w:val="nil"/>
                  </w:tcBorders>
                  <w:shd w:val="clear" w:color="auto" w:fill="auto"/>
                  <w:tcMar>
                    <w:left w:w="105" w:type="dxa"/>
                    <w:right w:w="105" w:type="dxa"/>
                  </w:tcMar>
                  <w:vAlign w:val="center"/>
                </w:tcPr>
                <w:p w14:paraId="609F3302">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不涉及</w:t>
                  </w:r>
                </w:p>
              </w:tc>
              <w:tc>
                <w:tcPr>
                  <w:tcW w:w="421" w:type="dxa"/>
                  <w:tcBorders>
                    <w:tl2br w:val="nil"/>
                    <w:tr2bl w:val="nil"/>
                  </w:tcBorders>
                  <w:shd w:val="clear" w:color="auto" w:fill="auto"/>
                  <w:tcMar>
                    <w:left w:w="105" w:type="dxa"/>
                    <w:right w:w="105" w:type="dxa"/>
                  </w:tcMar>
                  <w:vAlign w:val="center"/>
                </w:tcPr>
                <w:p w14:paraId="25A68C29">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60EDD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57013116">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690DB907">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13</w:t>
                  </w:r>
                </w:p>
              </w:tc>
              <w:tc>
                <w:tcPr>
                  <w:tcW w:w="4440" w:type="dxa"/>
                  <w:tcBorders>
                    <w:tl2br w:val="nil"/>
                    <w:tr2bl w:val="nil"/>
                  </w:tcBorders>
                  <w:shd w:val="clear" w:color="auto" w:fill="auto"/>
                  <w:tcMar>
                    <w:left w:w="105" w:type="dxa"/>
                    <w:right w:w="105" w:type="dxa"/>
                  </w:tcMar>
                  <w:vAlign w:val="center"/>
                </w:tcPr>
                <w:p w14:paraId="61775A7D">
                  <w:pPr>
                    <w:pStyle w:val="38"/>
                  </w:pPr>
                  <w:r>
                    <w:t>推动全省34个涉气重点行业企业绩效分级，积极引导污染物排放总量大、污染物排放浓度高的行业企业开展超低排放改造。</w:t>
                  </w:r>
                </w:p>
              </w:tc>
              <w:tc>
                <w:tcPr>
                  <w:tcW w:w="1603" w:type="dxa"/>
                  <w:tcBorders>
                    <w:tl2br w:val="nil"/>
                    <w:tr2bl w:val="nil"/>
                  </w:tcBorders>
                  <w:shd w:val="clear" w:color="auto" w:fill="auto"/>
                  <w:tcMar>
                    <w:left w:w="105" w:type="dxa"/>
                    <w:right w:w="105" w:type="dxa"/>
                  </w:tcMar>
                  <w:vAlign w:val="center"/>
                </w:tcPr>
                <w:p w14:paraId="29890B46">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项目工程均非</w:t>
                  </w:r>
                  <w:r>
                    <w:t>涉气重点行业企业</w:t>
                  </w:r>
                </w:p>
              </w:tc>
              <w:tc>
                <w:tcPr>
                  <w:tcW w:w="421" w:type="dxa"/>
                  <w:tcBorders>
                    <w:tl2br w:val="nil"/>
                    <w:tr2bl w:val="nil"/>
                  </w:tcBorders>
                  <w:shd w:val="clear" w:color="auto" w:fill="auto"/>
                  <w:tcMar>
                    <w:left w:w="105" w:type="dxa"/>
                    <w:right w:w="105" w:type="dxa"/>
                  </w:tcMar>
                  <w:vAlign w:val="center"/>
                </w:tcPr>
                <w:p w14:paraId="5E1CC2E9">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61E7A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25A27608">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5396381A">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14</w:t>
                  </w:r>
                </w:p>
              </w:tc>
              <w:tc>
                <w:tcPr>
                  <w:tcW w:w="4440" w:type="dxa"/>
                  <w:tcBorders>
                    <w:tl2br w:val="nil"/>
                    <w:tr2bl w:val="nil"/>
                  </w:tcBorders>
                  <w:shd w:val="clear" w:color="auto" w:fill="auto"/>
                  <w:tcMar>
                    <w:left w:w="105" w:type="dxa"/>
                    <w:right w:w="105" w:type="dxa"/>
                  </w:tcMar>
                  <w:vAlign w:val="center"/>
                </w:tcPr>
                <w:p w14:paraId="2C9FA7F1">
                  <w:pPr>
                    <w:pBdr>
                      <w:top w:val="none" w:color="auto" w:sz="0" w:space="1"/>
                      <w:left w:val="none" w:color="auto" w:sz="0" w:space="4"/>
                      <w:bottom w:val="none" w:color="auto" w:sz="0" w:space="1"/>
                      <w:right w:val="none" w:color="auto" w:sz="0" w:space="4"/>
                    </w:pBdr>
                    <w:adjustRightInd w:val="0"/>
                    <w:snapToGrid w:val="0"/>
                    <w:jc w:val="center"/>
                    <w:rPr>
                      <w:szCs w:val="21"/>
                    </w:rPr>
                  </w:pPr>
                  <w:r>
                    <w:rPr>
                      <w:spacing w:val="-16"/>
                    </w:rPr>
                    <w:t>禁止新建、扩建不符合要求的高耗能高排放项目。</w:t>
                  </w:r>
                </w:p>
              </w:tc>
              <w:tc>
                <w:tcPr>
                  <w:tcW w:w="1603" w:type="dxa"/>
                  <w:tcBorders>
                    <w:tl2br w:val="nil"/>
                    <w:tr2bl w:val="nil"/>
                  </w:tcBorders>
                  <w:shd w:val="clear" w:color="auto" w:fill="auto"/>
                  <w:tcMar>
                    <w:left w:w="105" w:type="dxa"/>
                    <w:right w:w="105" w:type="dxa"/>
                  </w:tcMar>
                  <w:vAlign w:val="center"/>
                </w:tcPr>
                <w:p w14:paraId="26E36B0B">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项目工程均非高耗能高排放项目</w:t>
                  </w:r>
                </w:p>
              </w:tc>
              <w:tc>
                <w:tcPr>
                  <w:tcW w:w="421" w:type="dxa"/>
                  <w:tcBorders>
                    <w:tl2br w:val="nil"/>
                    <w:tr2bl w:val="nil"/>
                  </w:tcBorders>
                  <w:shd w:val="clear" w:color="auto" w:fill="auto"/>
                  <w:tcMar>
                    <w:left w:w="105" w:type="dxa"/>
                    <w:right w:w="105" w:type="dxa"/>
                  </w:tcMar>
                  <w:vAlign w:val="center"/>
                </w:tcPr>
                <w:p w14:paraId="1B45D4B8">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1C017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restart"/>
                  <w:tcBorders>
                    <w:tl2br w:val="nil"/>
                    <w:tr2bl w:val="nil"/>
                  </w:tcBorders>
                  <w:shd w:val="clear" w:color="auto" w:fill="auto"/>
                  <w:tcMar>
                    <w:left w:w="105" w:type="dxa"/>
                    <w:right w:w="105" w:type="dxa"/>
                  </w:tcMar>
                  <w:vAlign w:val="center"/>
                </w:tcPr>
                <w:p w14:paraId="2752551D">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环境风险防控</w:t>
                  </w:r>
                </w:p>
              </w:tc>
              <w:tc>
                <w:tcPr>
                  <w:tcW w:w="500" w:type="dxa"/>
                  <w:tcBorders>
                    <w:tl2br w:val="nil"/>
                    <w:tr2bl w:val="nil"/>
                  </w:tcBorders>
                  <w:shd w:val="clear" w:color="auto" w:fill="auto"/>
                  <w:tcMar>
                    <w:left w:w="105" w:type="dxa"/>
                    <w:right w:w="105" w:type="dxa"/>
                  </w:tcMar>
                  <w:vAlign w:val="center"/>
                </w:tcPr>
                <w:p w14:paraId="426C52D6">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15</w:t>
                  </w:r>
                </w:p>
              </w:tc>
              <w:tc>
                <w:tcPr>
                  <w:tcW w:w="4440" w:type="dxa"/>
                  <w:tcBorders>
                    <w:tl2br w:val="nil"/>
                    <w:tr2bl w:val="nil"/>
                  </w:tcBorders>
                  <w:shd w:val="clear" w:color="auto" w:fill="auto"/>
                  <w:tcMar>
                    <w:left w:w="105" w:type="dxa"/>
                    <w:right w:w="105" w:type="dxa"/>
                  </w:tcMar>
                </w:tcPr>
                <w:p w14:paraId="6F55367E">
                  <w:pPr>
                    <w:pStyle w:val="38"/>
                  </w:pPr>
                  <w:r>
                    <w:t>在居民集中区、医院和学校附近、重要水源涵养生态功能区等环境风险防控重点区域，禁止新建或扩建化工石化、有色冶炼、制浆造纸等可能引发环境风险的项目。</w:t>
                  </w:r>
                </w:p>
              </w:tc>
              <w:tc>
                <w:tcPr>
                  <w:tcW w:w="1603" w:type="dxa"/>
                  <w:tcBorders>
                    <w:tl2br w:val="nil"/>
                    <w:tr2bl w:val="nil"/>
                  </w:tcBorders>
                  <w:shd w:val="clear" w:color="auto" w:fill="auto"/>
                  <w:tcMar>
                    <w:left w:w="105" w:type="dxa"/>
                    <w:right w:w="105" w:type="dxa"/>
                  </w:tcMar>
                  <w:vAlign w:val="center"/>
                </w:tcPr>
                <w:p w14:paraId="56A3508C">
                  <w:pPr>
                    <w:jc w:val="center"/>
                  </w:pPr>
                  <w:r>
                    <w:rPr>
                      <w:rFonts w:hint="eastAsia"/>
                    </w:rPr>
                    <w:t>不涉及</w:t>
                  </w:r>
                </w:p>
              </w:tc>
              <w:tc>
                <w:tcPr>
                  <w:tcW w:w="421" w:type="dxa"/>
                  <w:tcBorders>
                    <w:tl2br w:val="nil"/>
                    <w:tr2bl w:val="nil"/>
                  </w:tcBorders>
                  <w:shd w:val="clear" w:color="auto" w:fill="auto"/>
                  <w:tcMar>
                    <w:left w:w="105" w:type="dxa"/>
                    <w:right w:w="105" w:type="dxa"/>
                  </w:tcMar>
                  <w:vAlign w:val="center"/>
                </w:tcPr>
                <w:p w14:paraId="1AE51DDB">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6C8A4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7FD86EF6">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02527BE9">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16</w:t>
                  </w:r>
                </w:p>
              </w:tc>
              <w:tc>
                <w:tcPr>
                  <w:tcW w:w="4440" w:type="dxa"/>
                  <w:tcBorders>
                    <w:tl2br w:val="nil"/>
                    <w:tr2bl w:val="nil"/>
                  </w:tcBorders>
                  <w:shd w:val="clear" w:color="auto" w:fill="auto"/>
                  <w:tcMar>
                    <w:left w:w="105" w:type="dxa"/>
                    <w:right w:w="105" w:type="dxa"/>
                  </w:tcMar>
                </w:tcPr>
                <w:p w14:paraId="5E799D36">
                  <w:pPr>
                    <w:pStyle w:val="38"/>
                  </w:pPr>
                  <w:r>
                    <w:t>含有毒有害氰化物电镀工艺（电镀金、银、铜基合金及</w:t>
                  </w:r>
                  <w:r>
                    <w:rPr>
                      <w:rFonts w:hint="eastAsia"/>
                    </w:rPr>
                    <w:t>预</w:t>
                  </w:r>
                  <w:r>
                    <w:t>镀铜打底工艺除外）。</w:t>
                  </w:r>
                </w:p>
              </w:tc>
              <w:tc>
                <w:tcPr>
                  <w:tcW w:w="1603" w:type="dxa"/>
                  <w:tcBorders>
                    <w:tl2br w:val="nil"/>
                    <w:tr2bl w:val="nil"/>
                  </w:tcBorders>
                  <w:shd w:val="clear" w:color="auto" w:fill="auto"/>
                  <w:tcMar>
                    <w:left w:w="105" w:type="dxa"/>
                    <w:right w:w="105" w:type="dxa"/>
                  </w:tcMar>
                  <w:vAlign w:val="center"/>
                </w:tcPr>
                <w:p w14:paraId="77D6E449">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rPr>
                    <w:t>不涉及</w:t>
                  </w:r>
                </w:p>
              </w:tc>
              <w:tc>
                <w:tcPr>
                  <w:tcW w:w="421" w:type="dxa"/>
                  <w:tcBorders>
                    <w:tl2br w:val="nil"/>
                    <w:tr2bl w:val="nil"/>
                  </w:tcBorders>
                  <w:shd w:val="clear" w:color="auto" w:fill="auto"/>
                  <w:tcMar>
                    <w:left w:w="105" w:type="dxa"/>
                    <w:right w:w="105" w:type="dxa"/>
                  </w:tcMar>
                  <w:vAlign w:val="center"/>
                </w:tcPr>
                <w:p w14:paraId="7CCD7325">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5B7DD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7534C69D">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672E56CC">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17</w:t>
                  </w:r>
                </w:p>
              </w:tc>
              <w:tc>
                <w:tcPr>
                  <w:tcW w:w="4440" w:type="dxa"/>
                  <w:tcBorders>
                    <w:tl2br w:val="nil"/>
                    <w:tr2bl w:val="nil"/>
                  </w:tcBorders>
                  <w:shd w:val="clear" w:color="auto" w:fill="auto"/>
                  <w:tcMar>
                    <w:left w:w="105" w:type="dxa"/>
                    <w:right w:w="105" w:type="dxa"/>
                  </w:tcMar>
                </w:tcPr>
                <w:p w14:paraId="0574560D">
                  <w:pPr>
                    <w:pStyle w:val="38"/>
                  </w:pPr>
                  <w:r>
                    <w:t>港口、码头、装卸站和船舶修造厂应当备有足够的船舶污染物、废弃物的接收设施；从事船舶污染物、废弃物接收作业，或者从事装载油类、污染危害性货物船舱清洗作业的单位，应当具备与其运营规模相适应的接收处理能力。</w:t>
                  </w:r>
                </w:p>
              </w:tc>
              <w:tc>
                <w:tcPr>
                  <w:tcW w:w="1603" w:type="dxa"/>
                  <w:tcBorders>
                    <w:tl2br w:val="nil"/>
                    <w:tr2bl w:val="nil"/>
                  </w:tcBorders>
                  <w:shd w:val="clear" w:color="auto" w:fill="auto"/>
                  <w:tcMar>
                    <w:left w:w="105" w:type="dxa"/>
                    <w:right w:w="105" w:type="dxa"/>
                  </w:tcMar>
                  <w:vAlign w:val="center"/>
                </w:tcPr>
                <w:p w14:paraId="0A6B6FAD">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rPr>
                    <w:t>不涉及</w:t>
                  </w:r>
                </w:p>
              </w:tc>
              <w:tc>
                <w:tcPr>
                  <w:tcW w:w="421" w:type="dxa"/>
                  <w:tcBorders>
                    <w:tl2br w:val="nil"/>
                    <w:tr2bl w:val="nil"/>
                  </w:tcBorders>
                  <w:shd w:val="clear" w:color="auto" w:fill="auto"/>
                  <w:tcMar>
                    <w:left w:w="105" w:type="dxa"/>
                    <w:right w:w="105" w:type="dxa"/>
                  </w:tcMar>
                  <w:vAlign w:val="center"/>
                </w:tcPr>
                <w:p w14:paraId="2B9543EF">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65C1B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2BACC84F">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7C9CBF0A">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18</w:t>
                  </w:r>
                </w:p>
              </w:tc>
              <w:tc>
                <w:tcPr>
                  <w:tcW w:w="4440" w:type="dxa"/>
                  <w:tcBorders>
                    <w:tl2br w:val="nil"/>
                    <w:tr2bl w:val="nil"/>
                  </w:tcBorders>
                  <w:shd w:val="clear" w:color="auto" w:fill="auto"/>
                  <w:tcMar>
                    <w:left w:w="105" w:type="dxa"/>
                    <w:right w:w="105" w:type="dxa"/>
                  </w:tcMar>
                </w:tcPr>
                <w:p w14:paraId="53706457">
                  <w:pPr>
                    <w:pStyle w:val="38"/>
                  </w:pPr>
                  <w:r>
                    <w:t>位于城镇人口密集区内，安全、卫生防护距离不能满足相关要求和不符合规划的现有危险化学品生产企业限期退出或依法关停。</w:t>
                  </w:r>
                </w:p>
              </w:tc>
              <w:tc>
                <w:tcPr>
                  <w:tcW w:w="1603" w:type="dxa"/>
                  <w:tcBorders>
                    <w:tl2br w:val="nil"/>
                    <w:tr2bl w:val="nil"/>
                  </w:tcBorders>
                  <w:shd w:val="clear" w:color="auto" w:fill="auto"/>
                  <w:tcMar>
                    <w:left w:w="105" w:type="dxa"/>
                    <w:right w:w="105" w:type="dxa"/>
                  </w:tcMar>
                  <w:vAlign w:val="center"/>
                </w:tcPr>
                <w:p w14:paraId="1C247C70">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rPr>
                    <w:t>不涉及</w:t>
                  </w:r>
                </w:p>
              </w:tc>
              <w:tc>
                <w:tcPr>
                  <w:tcW w:w="421" w:type="dxa"/>
                  <w:tcBorders>
                    <w:tl2br w:val="nil"/>
                    <w:tr2bl w:val="nil"/>
                  </w:tcBorders>
                  <w:shd w:val="clear" w:color="auto" w:fill="auto"/>
                  <w:tcMar>
                    <w:left w:w="105" w:type="dxa"/>
                    <w:right w:w="105" w:type="dxa"/>
                  </w:tcMar>
                  <w:vAlign w:val="center"/>
                </w:tcPr>
                <w:p w14:paraId="46EF7B21">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0BFB2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794DB90F">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1BE48D30">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19</w:t>
                  </w:r>
                </w:p>
              </w:tc>
              <w:tc>
                <w:tcPr>
                  <w:tcW w:w="4440" w:type="dxa"/>
                  <w:tcBorders>
                    <w:tl2br w:val="nil"/>
                    <w:tr2bl w:val="nil"/>
                  </w:tcBorders>
                  <w:shd w:val="clear" w:color="auto" w:fill="auto"/>
                  <w:tcMar>
                    <w:left w:w="105" w:type="dxa"/>
                    <w:right w:w="105" w:type="dxa"/>
                  </w:tcMar>
                </w:tcPr>
                <w:p w14:paraId="63805716">
                  <w:pPr>
                    <w:pStyle w:val="38"/>
                  </w:pPr>
                  <w:r>
                    <w:t>禁止在长江干流岸线三公里范围内和重要支流岸线一公里范围内新建、改建、扩建尾矿库、冶炼渣库和磷石膏库，以提升安全、生态环境保护水平为目的的改建除外。</w:t>
                  </w:r>
                </w:p>
              </w:tc>
              <w:tc>
                <w:tcPr>
                  <w:tcW w:w="1603" w:type="dxa"/>
                  <w:tcBorders>
                    <w:tl2br w:val="nil"/>
                    <w:tr2bl w:val="nil"/>
                  </w:tcBorders>
                  <w:shd w:val="clear" w:color="auto" w:fill="auto"/>
                  <w:tcMar>
                    <w:left w:w="105" w:type="dxa"/>
                    <w:right w:w="105" w:type="dxa"/>
                  </w:tcMar>
                  <w:vAlign w:val="center"/>
                </w:tcPr>
                <w:p w14:paraId="3F9FBFFE">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rPr>
                    <w:t>不涉及</w:t>
                  </w:r>
                </w:p>
              </w:tc>
              <w:tc>
                <w:tcPr>
                  <w:tcW w:w="421" w:type="dxa"/>
                  <w:tcBorders>
                    <w:tl2br w:val="nil"/>
                    <w:tr2bl w:val="nil"/>
                  </w:tcBorders>
                  <w:shd w:val="clear" w:color="auto" w:fill="auto"/>
                  <w:tcMar>
                    <w:left w:w="105" w:type="dxa"/>
                    <w:right w:w="105" w:type="dxa"/>
                  </w:tcMar>
                  <w:vAlign w:val="center"/>
                </w:tcPr>
                <w:p w14:paraId="0E0F5D34">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7F8BD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restart"/>
                  <w:tcBorders>
                    <w:tl2br w:val="nil"/>
                    <w:tr2bl w:val="nil"/>
                  </w:tcBorders>
                  <w:shd w:val="clear" w:color="auto" w:fill="auto"/>
                  <w:tcMar>
                    <w:left w:w="105" w:type="dxa"/>
                    <w:right w:w="105" w:type="dxa"/>
                  </w:tcMar>
                  <w:vAlign w:val="center"/>
                </w:tcPr>
                <w:p w14:paraId="72E6659E">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资源利用效率</w:t>
                  </w:r>
                </w:p>
              </w:tc>
              <w:tc>
                <w:tcPr>
                  <w:tcW w:w="500" w:type="dxa"/>
                  <w:tcBorders>
                    <w:tl2br w:val="nil"/>
                    <w:tr2bl w:val="nil"/>
                  </w:tcBorders>
                  <w:shd w:val="clear" w:color="auto" w:fill="auto"/>
                  <w:tcMar>
                    <w:left w:w="105" w:type="dxa"/>
                    <w:right w:w="105" w:type="dxa"/>
                  </w:tcMar>
                  <w:vAlign w:val="center"/>
                </w:tcPr>
                <w:p w14:paraId="1EF19295">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20</w:t>
                  </w:r>
                </w:p>
              </w:tc>
              <w:tc>
                <w:tcPr>
                  <w:tcW w:w="4440" w:type="dxa"/>
                  <w:tcBorders>
                    <w:tl2br w:val="nil"/>
                    <w:tr2bl w:val="nil"/>
                  </w:tcBorders>
                  <w:shd w:val="clear" w:color="auto" w:fill="auto"/>
                  <w:tcMar>
                    <w:left w:w="105" w:type="dxa"/>
                    <w:right w:w="105" w:type="dxa"/>
                  </w:tcMar>
                </w:tcPr>
                <w:p w14:paraId="66F36815">
                  <w:pPr>
                    <w:pStyle w:val="38"/>
                  </w:pPr>
                  <w:r>
                    <w:t>对取用水总量已达到或超过控制指标的地区，暂停审批建设项目新增取水。对取用水总量接近控制指标的地区，限制审批建设项目新增取水。</w:t>
                  </w:r>
                </w:p>
              </w:tc>
              <w:tc>
                <w:tcPr>
                  <w:tcW w:w="1603" w:type="dxa"/>
                  <w:tcBorders>
                    <w:tl2br w:val="nil"/>
                    <w:tr2bl w:val="nil"/>
                  </w:tcBorders>
                  <w:shd w:val="clear" w:color="auto" w:fill="auto"/>
                  <w:tcMar>
                    <w:left w:w="105" w:type="dxa"/>
                    <w:right w:w="105" w:type="dxa"/>
                  </w:tcMar>
                  <w:vAlign w:val="center"/>
                </w:tcPr>
                <w:p w14:paraId="71F5892C">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市政供水</w:t>
                  </w:r>
                </w:p>
              </w:tc>
              <w:tc>
                <w:tcPr>
                  <w:tcW w:w="421" w:type="dxa"/>
                  <w:tcBorders>
                    <w:tl2br w:val="nil"/>
                    <w:tr2bl w:val="nil"/>
                  </w:tcBorders>
                  <w:shd w:val="clear" w:color="auto" w:fill="auto"/>
                  <w:tcMar>
                    <w:left w:w="105" w:type="dxa"/>
                    <w:right w:w="105" w:type="dxa"/>
                  </w:tcMar>
                  <w:vAlign w:val="center"/>
                </w:tcPr>
                <w:p w14:paraId="6FC63E9C">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r w14:paraId="40054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0" w:type="dxa"/>
                  <w:vMerge w:val="continue"/>
                  <w:tcBorders>
                    <w:tl2br w:val="nil"/>
                    <w:tr2bl w:val="nil"/>
                  </w:tcBorders>
                  <w:shd w:val="clear" w:color="auto" w:fill="auto"/>
                  <w:tcMar>
                    <w:left w:w="105" w:type="dxa"/>
                    <w:right w:w="105" w:type="dxa"/>
                  </w:tcMar>
                  <w:vAlign w:val="center"/>
                </w:tcPr>
                <w:p w14:paraId="41994259">
                  <w:pPr>
                    <w:pBdr>
                      <w:top w:val="none" w:color="auto" w:sz="0" w:space="1"/>
                      <w:left w:val="none" w:color="auto" w:sz="0" w:space="4"/>
                      <w:bottom w:val="none" w:color="auto" w:sz="0" w:space="1"/>
                      <w:right w:val="none" w:color="auto" w:sz="0" w:space="4"/>
                    </w:pBdr>
                    <w:adjustRightInd w:val="0"/>
                    <w:snapToGrid w:val="0"/>
                    <w:jc w:val="center"/>
                    <w:rPr>
                      <w:szCs w:val="21"/>
                    </w:rPr>
                  </w:pPr>
                </w:p>
              </w:tc>
              <w:tc>
                <w:tcPr>
                  <w:tcW w:w="500" w:type="dxa"/>
                  <w:tcBorders>
                    <w:tl2br w:val="nil"/>
                    <w:tr2bl w:val="nil"/>
                  </w:tcBorders>
                  <w:shd w:val="clear" w:color="auto" w:fill="auto"/>
                  <w:tcMar>
                    <w:left w:w="105" w:type="dxa"/>
                    <w:right w:w="105" w:type="dxa"/>
                  </w:tcMar>
                  <w:vAlign w:val="center"/>
                </w:tcPr>
                <w:p w14:paraId="01F5CD09">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21</w:t>
                  </w:r>
                </w:p>
              </w:tc>
              <w:tc>
                <w:tcPr>
                  <w:tcW w:w="4440" w:type="dxa"/>
                  <w:tcBorders>
                    <w:tl2br w:val="nil"/>
                    <w:tr2bl w:val="nil"/>
                  </w:tcBorders>
                  <w:shd w:val="clear" w:color="auto" w:fill="auto"/>
                  <w:tcMar>
                    <w:left w:w="105" w:type="dxa"/>
                    <w:right w:w="105" w:type="dxa"/>
                  </w:tcMar>
                </w:tcPr>
                <w:p w14:paraId="79137D1F">
                  <w:pPr>
                    <w:pStyle w:val="38"/>
                  </w:pPr>
                  <w:r>
                    <w:t>在禁燃区内，禁止新建、扩建燃用高污染燃料的项目和设施，已建成的应逐步改用天然气、电或者其他清洁能源。</w:t>
                  </w:r>
                </w:p>
              </w:tc>
              <w:tc>
                <w:tcPr>
                  <w:tcW w:w="1603" w:type="dxa"/>
                  <w:tcBorders>
                    <w:tl2br w:val="nil"/>
                    <w:tr2bl w:val="nil"/>
                  </w:tcBorders>
                  <w:shd w:val="clear" w:color="auto" w:fill="auto"/>
                  <w:tcMar>
                    <w:left w:w="105" w:type="dxa"/>
                    <w:right w:w="105" w:type="dxa"/>
                  </w:tcMar>
                  <w:vAlign w:val="center"/>
                </w:tcPr>
                <w:p w14:paraId="3BBE5A4A">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本项目工程</w:t>
                  </w:r>
                  <w:r>
                    <w:rPr>
                      <w:rFonts w:hint="eastAsia"/>
                      <w:szCs w:val="21"/>
                      <w:lang w:eastAsia="zh-CN"/>
                    </w:rPr>
                    <w:t>不</w:t>
                  </w:r>
                  <w:r>
                    <w:rPr>
                      <w:rFonts w:hint="eastAsia"/>
                      <w:szCs w:val="21"/>
                    </w:rPr>
                    <w:t>涉及使用高污染燃料</w:t>
                  </w:r>
                </w:p>
              </w:tc>
              <w:tc>
                <w:tcPr>
                  <w:tcW w:w="421" w:type="dxa"/>
                  <w:tcBorders>
                    <w:tl2br w:val="nil"/>
                    <w:tr2bl w:val="nil"/>
                  </w:tcBorders>
                  <w:shd w:val="clear" w:color="auto" w:fill="auto"/>
                  <w:tcMar>
                    <w:left w:w="105" w:type="dxa"/>
                    <w:right w:w="105" w:type="dxa"/>
                  </w:tcMar>
                  <w:vAlign w:val="center"/>
                </w:tcPr>
                <w:p w14:paraId="72F350C8">
                  <w:pPr>
                    <w:pBdr>
                      <w:top w:val="none" w:color="auto" w:sz="0" w:space="1"/>
                      <w:left w:val="none" w:color="auto" w:sz="0" w:space="4"/>
                      <w:bottom w:val="none" w:color="auto" w:sz="0" w:space="1"/>
                      <w:right w:val="none" w:color="auto" w:sz="0" w:space="4"/>
                    </w:pBdr>
                    <w:adjustRightInd w:val="0"/>
                    <w:snapToGrid w:val="0"/>
                    <w:jc w:val="center"/>
                    <w:rPr>
                      <w:szCs w:val="21"/>
                    </w:rPr>
                  </w:pPr>
                  <w:r>
                    <w:rPr>
                      <w:rFonts w:hint="eastAsia"/>
                      <w:szCs w:val="21"/>
                    </w:rPr>
                    <w:t>符合</w:t>
                  </w:r>
                </w:p>
              </w:tc>
            </w:tr>
          </w:tbl>
          <w:p w14:paraId="5306A1C9">
            <w:pPr>
              <w:pStyle w:val="36"/>
              <w:ind w:firstLine="480"/>
              <w:rPr>
                <w:rFonts w:hint="default"/>
              </w:rPr>
            </w:pPr>
            <w:r>
              <w:t>经上述对照分析，本项目工程均符合《江西省生态环境厅关于公布江西省生态环境分区管控成果（2023版）的函》(赣环环评函〔2024〕87号）文件相关要求。</w:t>
            </w:r>
          </w:p>
          <w:p w14:paraId="7BF3CF11">
            <w:pPr>
              <w:pStyle w:val="64"/>
              <w:ind w:firstLine="482"/>
              <w:rPr>
                <w:b/>
                <w:bCs/>
              </w:rPr>
            </w:pPr>
            <w:r>
              <w:rPr>
                <w:rFonts w:hint="eastAsia"/>
                <w:b/>
                <w:bCs/>
              </w:rPr>
              <w:t>4、</w:t>
            </w:r>
            <w:r>
              <w:rPr>
                <w:b/>
                <w:bCs/>
              </w:rPr>
              <w:t>与《江西省长江经济带发展负面清单实施细则（试行</w:t>
            </w:r>
            <w:r>
              <w:rPr>
                <w:rFonts w:hint="eastAsia"/>
                <w:b/>
                <w:bCs/>
              </w:rPr>
              <w:t>，2022年版</w:t>
            </w:r>
            <w:r>
              <w:rPr>
                <w:b/>
                <w:bCs/>
              </w:rPr>
              <w:t>）的通知》（赣长江办</w:t>
            </w:r>
            <w:r>
              <w:rPr>
                <w:rFonts w:hint="eastAsia"/>
                <w:b/>
                <w:bCs/>
              </w:rPr>
              <w:t>〔</w:t>
            </w:r>
            <w:r>
              <w:rPr>
                <w:b/>
                <w:bCs/>
              </w:rPr>
              <w:t>2022</w:t>
            </w:r>
            <w:r>
              <w:rPr>
                <w:rFonts w:hint="eastAsia"/>
                <w:b/>
                <w:bCs/>
              </w:rPr>
              <w:t>〕</w:t>
            </w:r>
            <w:r>
              <w:rPr>
                <w:b/>
                <w:bCs/>
              </w:rPr>
              <w:t>7号文）《中华人民共和国长江保护法》符合性分析相符性分析</w:t>
            </w:r>
          </w:p>
          <w:p w14:paraId="6204725A">
            <w:pPr>
              <w:pStyle w:val="42"/>
              <w:ind w:firstLine="480"/>
            </w:pPr>
            <w:r>
              <w:t>本项目</w:t>
            </w:r>
            <w:r>
              <w:rPr>
                <w:rFonts w:hint="eastAsia"/>
              </w:rPr>
              <w:t>与《江西省长江经济带发展负面清单实施细则（试行，2022年版）的通知》）</w:t>
            </w:r>
            <w:r>
              <w:t>（赣长江办</w:t>
            </w:r>
            <w:r>
              <w:rPr>
                <w:rFonts w:hint="eastAsia"/>
              </w:rPr>
              <w:t>〔</w:t>
            </w:r>
            <w:r>
              <w:t>20</w:t>
            </w:r>
            <w:r>
              <w:rPr>
                <w:rFonts w:hint="eastAsia"/>
              </w:rPr>
              <w:t>22〕7</w:t>
            </w:r>
            <w:r>
              <w:t>号）</w:t>
            </w:r>
            <w:r>
              <w:rPr>
                <w:rFonts w:hint="eastAsia"/>
              </w:rPr>
              <w:t>《中华人民共和国长江保护法》符合性分析相符性分析见下表</w:t>
            </w:r>
            <w:r>
              <w:t>。</w:t>
            </w:r>
          </w:p>
          <w:p w14:paraId="55F3A268">
            <w:pPr>
              <w:pStyle w:val="52"/>
              <w:rPr>
                <w:lang w:val="zh-TW" w:eastAsia="zh-TW"/>
              </w:rPr>
            </w:pPr>
            <w:r>
              <w:rPr>
                <w:rFonts w:hint="eastAsia"/>
                <w:lang w:val="zh-TW"/>
              </w:rPr>
              <w:t>与《江西省长江经济带发展负面清单实施细则（试行）的通知》）（赣长江办〔2022〕7号）相符性分析</w:t>
            </w:r>
            <w:r>
              <w:rPr>
                <w:lang w:val="zh-TW" w:eastAsia="zh-TW"/>
              </w:rPr>
              <w:t>一览表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638"/>
              <w:gridCol w:w="3779"/>
              <w:gridCol w:w="2156"/>
              <w:gridCol w:w="850"/>
            </w:tblGrid>
            <w:tr w14:paraId="38ECE1E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5" w:hRule="atLeast"/>
                <w:jc w:val="center"/>
              </w:trPr>
              <w:tc>
                <w:tcPr>
                  <w:tcW w:w="429" w:type="pct"/>
                  <w:noWrap/>
                  <w:vAlign w:val="center"/>
                </w:tcPr>
                <w:p w14:paraId="4CCB6AD1">
                  <w:pPr>
                    <w:tabs>
                      <w:tab w:val="left" w:pos="0"/>
                    </w:tabs>
                    <w:jc w:val="center"/>
                    <w:rPr>
                      <w:b/>
                      <w:bCs/>
                      <w:szCs w:val="21"/>
                    </w:rPr>
                  </w:pPr>
                  <w:r>
                    <w:rPr>
                      <w:rFonts w:hint="eastAsia"/>
                      <w:b/>
                      <w:bCs/>
                      <w:szCs w:val="21"/>
                    </w:rPr>
                    <w:t>序号</w:t>
                  </w:r>
                </w:p>
              </w:tc>
              <w:tc>
                <w:tcPr>
                  <w:tcW w:w="2546" w:type="pct"/>
                  <w:noWrap/>
                  <w:vAlign w:val="center"/>
                </w:tcPr>
                <w:p w14:paraId="1F517C36">
                  <w:pPr>
                    <w:tabs>
                      <w:tab w:val="left" w:pos="0"/>
                    </w:tabs>
                    <w:jc w:val="center"/>
                    <w:rPr>
                      <w:b/>
                      <w:bCs/>
                      <w:szCs w:val="21"/>
                    </w:rPr>
                  </w:pPr>
                  <w:r>
                    <w:rPr>
                      <w:rFonts w:hint="eastAsia"/>
                      <w:b/>
                      <w:bCs/>
                      <w:szCs w:val="21"/>
                    </w:rPr>
                    <w:t>实施细则</w:t>
                  </w:r>
                </w:p>
              </w:tc>
              <w:tc>
                <w:tcPr>
                  <w:tcW w:w="1453" w:type="pct"/>
                  <w:noWrap/>
                  <w:vAlign w:val="center"/>
                </w:tcPr>
                <w:p w14:paraId="276BC5FD">
                  <w:pPr>
                    <w:tabs>
                      <w:tab w:val="left" w:pos="0"/>
                    </w:tabs>
                    <w:jc w:val="center"/>
                    <w:rPr>
                      <w:b/>
                      <w:bCs/>
                      <w:szCs w:val="21"/>
                    </w:rPr>
                  </w:pPr>
                  <w:r>
                    <w:rPr>
                      <w:rFonts w:hint="eastAsia"/>
                      <w:b/>
                      <w:bCs/>
                      <w:szCs w:val="21"/>
                    </w:rPr>
                    <w:t>本项目情况</w:t>
                  </w:r>
                </w:p>
              </w:tc>
              <w:tc>
                <w:tcPr>
                  <w:tcW w:w="571" w:type="pct"/>
                  <w:noWrap/>
                  <w:vAlign w:val="center"/>
                </w:tcPr>
                <w:p w14:paraId="11827BFF">
                  <w:pPr>
                    <w:tabs>
                      <w:tab w:val="left" w:pos="0"/>
                    </w:tabs>
                    <w:jc w:val="center"/>
                    <w:rPr>
                      <w:b/>
                      <w:bCs/>
                      <w:szCs w:val="21"/>
                    </w:rPr>
                  </w:pPr>
                  <w:r>
                    <w:rPr>
                      <w:rFonts w:hint="eastAsia"/>
                      <w:b/>
                      <w:bCs/>
                      <w:szCs w:val="21"/>
                    </w:rPr>
                    <w:t>符合性</w:t>
                  </w:r>
                </w:p>
              </w:tc>
            </w:tr>
            <w:tr w14:paraId="3F192D5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29" w:type="pct"/>
                  <w:noWrap/>
                  <w:vAlign w:val="center"/>
                </w:tcPr>
                <w:p w14:paraId="78C5219D">
                  <w:pPr>
                    <w:tabs>
                      <w:tab w:val="left" w:pos="0"/>
                    </w:tabs>
                    <w:jc w:val="center"/>
                    <w:rPr>
                      <w:szCs w:val="21"/>
                    </w:rPr>
                  </w:pPr>
                  <w:r>
                    <w:rPr>
                      <w:rFonts w:hint="eastAsia"/>
                      <w:szCs w:val="21"/>
                    </w:rPr>
                    <w:t>1</w:t>
                  </w:r>
                </w:p>
              </w:tc>
              <w:tc>
                <w:tcPr>
                  <w:tcW w:w="2546" w:type="pct"/>
                  <w:vAlign w:val="center"/>
                </w:tcPr>
                <w:p w14:paraId="72F64075">
                  <w:pPr>
                    <w:tabs>
                      <w:tab w:val="left" w:pos="0"/>
                    </w:tabs>
                    <w:jc w:val="center"/>
                    <w:rPr>
                      <w:szCs w:val="21"/>
                    </w:rPr>
                  </w:pPr>
                  <w:r>
                    <w:rPr>
                      <w:rFonts w:hint="eastAsia"/>
                      <w:szCs w:val="21"/>
                    </w:rPr>
                    <w:t>禁止建设项目不符合全国和省级港口布局规划以及港口总体规划的码头项目，禁止建设不符合《长江干线过江通道布局规划》的长江通道项目。</w:t>
                  </w:r>
                </w:p>
              </w:tc>
              <w:tc>
                <w:tcPr>
                  <w:tcW w:w="1453" w:type="pct"/>
                  <w:vAlign w:val="center"/>
                </w:tcPr>
                <w:p w14:paraId="4060C292">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属于码头和长江通道项目。</w:t>
                  </w:r>
                </w:p>
              </w:tc>
              <w:tc>
                <w:tcPr>
                  <w:tcW w:w="571" w:type="pct"/>
                  <w:noWrap/>
                  <w:vAlign w:val="center"/>
                </w:tcPr>
                <w:p w14:paraId="07A507A8">
                  <w:pPr>
                    <w:tabs>
                      <w:tab w:val="left" w:pos="0"/>
                    </w:tabs>
                    <w:jc w:val="center"/>
                    <w:rPr>
                      <w:szCs w:val="21"/>
                    </w:rPr>
                  </w:pPr>
                  <w:r>
                    <w:rPr>
                      <w:rFonts w:hint="eastAsia"/>
                      <w:szCs w:val="21"/>
                    </w:rPr>
                    <w:t>符合</w:t>
                  </w:r>
                </w:p>
              </w:tc>
            </w:tr>
            <w:tr w14:paraId="444BBA3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843" w:hRule="atLeast"/>
                <w:jc w:val="center"/>
              </w:trPr>
              <w:tc>
                <w:tcPr>
                  <w:tcW w:w="429" w:type="pct"/>
                  <w:noWrap/>
                  <w:vAlign w:val="center"/>
                </w:tcPr>
                <w:p w14:paraId="5B4629A1">
                  <w:pPr>
                    <w:tabs>
                      <w:tab w:val="left" w:pos="0"/>
                    </w:tabs>
                    <w:jc w:val="center"/>
                    <w:rPr>
                      <w:szCs w:val="21"/>
                    </w:rPr>
                  </w:pPr>
                  <w:r>
                    <w:rPr>
                      <w:rFonts w:hint="eastAsia"/>
                      <w:szCs w:val="21"/>
                    </w:rPr>
                    <w:t>2</w:t>
                  </w:r>
                </w:p>
              </w:tc>
              <w:tc>
                <w:tcPr>
                  <w:tcW w:w="2546" w:type="pct"/>
                  <w:vAlign w:val="center"/>
                </w:tcPr>
                <w:p w14:paraId="30D5877A">
                  <w:pPr>
                    <w:tabs>
                      <w:tab w:val="left" w:pos="0"/>
                    </w:tabs>
                    <w:jc w:val="center"/>
                    <w:rPr>
                      <w:szCs w:val="21"/>
                    </w:rPr>
                  </w:pPr>
                  <w:r>
                    <w:rPr>
                      <w:rFonts w:hint="eastAsia"/>
                      <w:szCs w:val="21"/>
                    </w:rPr>
                    <w:t>禁止在自然保护区核心区，缓冲区的岸线和河段范围内投资建设旅游和生产经营项目。</w:t>
                  </w:r>
                </w:p>
              </w:tc>
              <w:tc>
                <w:tcPr>
                  <w:tcW w:w="1453" w:type="pct"/>
                  <w:vAlign w:val="center"/>
                </w:tcPr>
                <w:p w14:paraId="00A87DD7">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涉及自然保护区。</w:t>
                  </w:r>
                </w:p>
              </w:tc>
              <w:tc>
                <w:tcPr>
                  <w:tcW w:w="571" w:type="pct"/>
                  <w:noWrap/>
                  <w:vAlign w:val="center"/>
                </w:tcPr>
                <w:p w14:paraId="6CA94172">
                  <w:pPr>
                    <w:tabs>
                      <w:tab w:val="left" w:pos="0"/>
                    </w:tabs>
                    <w:jc w:val="center"/>
                    <w:rPr>
                      <w:szCs w:val="21"/>
                    </w:rPr>
                  </w:pPr>
                  <w:r>
                    <w:rPr>
                      <w:rFonts w:hint="eastAsia"/>
                      <w:szCs w:val="21"/>
                    </w:rPr>
                    <w:t>符合</w:t>
                  </w:r>
                </w:p>
              </w:tc>
            </w:tr>
            <w:tr w14:paraId="031E52E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101" w:hRule="atLeast"/>
                <w:jc w:val="center"/>
              </w:trPr>
              <w:tc>
                <w:tcPr>
                  <w:tcW w:w="429" w:type="pct"/>
                  <w:noWrap/>
                  <w:vAlign w:val="center"/>
                </w:tcPr>
                <w:p w14:paraId="24801FCF">
                  <w:pPr>
                    <w:tabs>
                      <w:tab w:val="left" w:pos="0"/>
                    </w:tabs>
                    <w:jc w:val="center"/>
                    <w:rPr>
                      <w:szCs w:val="21"/>
                    </w:rPr>
                  </w:pPr>
                  <w:r>
                    <w:rPr>
                      <w:rFonts w:hint="eastAsia"/>
                      <w:szCs w:val="21"/>
                    </w:rPr>
                    <w:t>3</w:t>
                  </w:r>
                </w:p>
              </w:tc>
              <w:tc>
                <w:tcPr>
                  <w:tcW w:w="2546" w:type="pct"/>
                  <w:vAlign w:val="center"/>
                </w:tcPr>
                <w:p w14:paraId="18C45B25">
                  <w:pPr>
                    <w:tabs>
                      <w:tab w:val="left" w:pos="0"/>
                    </w:tabs>
                    <w:jc w:val="center"/>
                    <w:rPr>
                      <w:szCs w:val="21"/>
                    </w:rPr>
                  </w:pPr>
                  <w:r>
                    <w:rPr>
                      <w:rFonts w:hint="eastAsia"/>
                      <w:szCs w:val="21"/>
                    </w:rPr>
                    <w:t>禁止在风景名胜区核心景区的岸线和河段范围内开展以下行为：(一）开山、采石、开矿、开荒、修坟立碑等破坏景观、植被和地形地貌的活动。(二）修建储存爆炸性、易燃性、放射性、毒害性、腐蚀性物品的设施。(三）违反风景名胜区规划，建设与风景名胜区资源保护无关的设施。</w:t>
                  </w:r>
                </w:p>
              </w:tc>
              <w:tc>
                <w:tcPr>
                  <w:tcW w:w="1453" w:type="pct"/>
                  <w:vAlign w:val="center"/>
                </w:tcPr>
                <w:p w14:paraId="6D6C5819">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位于风景名胜区核心景区的岸线和河段范围内。</w:t>
                  </w:r>
                </w:p>
              </w:tc>
              <w:tc>
                <w:tcPr>
                  <w:tcW w:w="571" w:type="pct"/>
                  <w:noWrap/>
                  <w:vAlign w:val="center"/>
                </w:tcPr>
                <w:p w14:paraId="4E885AD5">
                  <w:pPr>
                    <w:tabs>
                      <w:tab w:val="left" w:pos="0"/>
                    </w:tabs>
                    <w:jc w:val="center"/>
                    <w:rPr>
                      <w:szCs w:val="21"/>
                    </w:rPr>
                  </w:pPr>
                  <w:r>
                    <w:rPr>
                      <w:rFonts w:hint="eastAsia"/>
                      <w:szCs w:val="21"/>
                    </w:rPr>
                    <w:t>符合</w:t>
                  </w:r>
                </w:p>
              </w:tc>
            </w:tr>
            <w:tr w14:paraId="40CC892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533" w:hRule="atLeast"/>
                <w:jc w:val="center"/>
              </w:trPr>
              <w:tc>
                <w:tcPr>
                  <w:tcW w:w="429" w:type="pct"/>
                  <w:noWrap/>
                  <w:vAlign w:val="center"/>
                </w:tcPr>
                <w:p w14:paraId="08734626">
                  <w:pPr>
                    <w:tabs>
                      <w:tab w:val="left" w:pos="0"/>
                    </w:tabs>
                    <w:jc w:val="center"/>
                    <w:rPr>
                      <w:szCs w:val="21"/>
                    </w:rPr>
                  </w:pPr>
                  <w:r>
                    <w:rPr>
                      <w:rFonts w:hint="eastAsia"/>
                      <w:szCs w:val="21"/>
                    </w:rPr>
                    <w:t>4</w:t>
                  </w:r>
                </w:p>
              </w:tc>
              <w:tc>
                <w:tcPr>
                  <w:tcW w:w="2546" w:type="pct"/>
                  <w:vAlign w:val="center"/>
                </w:tcPr>
                <w:p w14:paraId="2A96B322">
                  <w:pPr>
                    <w:tabs>
                      <w:tab w:val="left" w:pos="0"/>
                    </w:tabs>
                    <w:jc w:val="center"/>
                    <w:rPr>
                      <w:szCs w:val="21"/>
                    </w:rPr>
                  </w:pPr>
                  <w:r>
                    <w:rPr>
                      <w:rFonts w:hint="eastAsia"/>
                      <w:szCs w:val="21"/>
                    </w:rPr>
                    <w:t>禁止在饮用水水源一级保护区的岸线和河段范围内开展下列行为：(一）新建、改建、扩建与供水设施和保护水源无关的建设项目；已建成的与供水设施和保护水源无关的建设项目，由县级以上人民政府责令拆除或者关闭。(二）禁止在饮用水水源一级保护区内从事网箱养殖、旅游、游泳、垂钓或者其他可能污染饮用水水体的活动。</w:t>
                  </w:r>
                </w:p>
              </w:tc>
              <w:tc>
                <w:tcPr>
                  <w:tcW w:w="1453" w:type="pct"/>
                  <w:vMerge w:val="restart"/>
                  <w:vAlign w:val="center"/>
                </w:tcPr>
                <w:p w14:paraId="2AED47E6">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在饮用水水源一、二级保护区的岸线和河段范围内。</w:t>
                  </w:r>
                </w:p>
              </w:tc>
              <w:tc>
                <w:tcPr>
                  <w:tcW w:w="571" w:type="pct"/>
                  <w:vMerge w:val="restart"/>
                  <w:noWrap/>
                  <w:vAlign w:val="center"/>
                </w:tcPr>
                <w:p w14:paraId="39DD2764">
                  <w:pPr>
                    <w:tabs>
                      <w:tab w:val="left" w:pos="0"/>
                    </w:tabs>
                    <w:jc w:val="center"/>
                    <w:rPr>
                      <w:szCs w:val="21"/>
                    </w:rPr>
                  </w:pPr>
                  <w:r>
                    <w:rPr>
                      <w:rFonts w:hint="eastAsia"/>
                      <w:szCs w:val="21"/>
                    </w:rPr>
                    <w:t>符合</w:t>
                  </w:r>
                </w:p>
              </w:tc>
            </w:tr>
            <w:tr w14:paraId="3A23D85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429" w:type="pct"/>
                  <w:noWrap/>
                  <w:vAlign w:val="center"/>
                </w:tcPr>
                <w:p w14:paraId="0F806823">
                  <w:pPr>
                    <w:tabs>
                      <w:tab w:val="left" w:pos="0"/>
                    </w:tabs>
                    <w:jc w:val="center"/>
                    <w:rPr>
                      <w:szCs w:val="21"/>
                    </w:rPr>
                  </w:pPr>
                  <w:r>
                    <w:rPr>
                      <w:rFonts w:hint="eastAsia"/>
                      <w:szCs w:val="21"/>
                    </w:rPr>
                    <w:t>5</w:t>
                  </w:r>
                </w:p>
              </w:tc>
              <w:tc>
                <w:tcPr>
                  <w:tcW w:w="2546" w:type="pct"/>
                  <w:vAlign w:val="center"/>
                </w:tcPr>
                <w:p w14:paraId="016EA2CB">
                  <w:pPr>
                    <w:tabs>
                      <w:tab w:val="left" w:pos="0"/>
                    </w:tabs>
                    <w:jc w:val="center"/>
                    <w:rPr>
                      <w:szCs w:val="21"/>
                    </w:rPr>
                  </w:pPr>
                  <w:r>
                    <w:rPr>
                      <w:rFonts w:hint="eastAsia"/>
                      <w:szCs w:val="21"/>
                    </w:rPr>
                    <w:t>禁止在饮用水水源二级保护区的岸线和河段范围内开展下列行为：排放污染物的建设项目；已建成的排放污染物的建设项目，由县级以上人民政府责令拆除或者关闭。(二）在饮用水水源二级保护区内从事网箱养殖、旅游等活动的，应当按照规定采取措施，防止污染饮用水水体。</w:t>
                  </w:r>
                </w:p>
              </w:tc>
              <w:tc>
                <w:tcPr>
                  <w:tcW w:w="1453" w:type="pct"/>
                  <w:vMerge w:val="continue"/>
                  <w:vAlign w:val="center"/>
                </w:tcPr>
                <w:p w14:paraId="74EFD351">
                  <w:pPr>
                    <w:tabs>
                      <w:tab w:val="left" w:pos="0"/>
                    </w:tabs>
                    <w:jc w:val="center"/>
                    <w:rPr>
                      <w:szCs w:val="21"/>
                    </w:rPr>
                  </w:pPr>
                </w:p>
              </w:tc>
              <w:tc>
                <w:tcPr>
                  <w:tcW w:w="571" w:type="pct"/>
                  <w:vMerge w:val="continue"/>
                  <w:noWrap/>
                  <w:vAlign w:val="center"/>
                </w:tcPr>
                <w:p w14:paraId="0DF951B5">
                  <w:pPr>
                    <w:tabs>
                      <w:tab w:val="left" w:pos="0"/>
                    </w:tabs>
                    <w:jc w:val="center"/>
                    <w:rPr>
                      <w:szCs w:val="21"/>
                    </w:rPr>
                  </w:pPr>
                </w:p>
              </w:tc>
            </w:tr>
            <w:tr w14:paraId="3F6720B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800" w:hRule="atLeast"/>
                <w:jc w:val="center"/>
              </w:trPr>
              <w:tc>
                <w:tcPr>
                  <w:tcW w:w="429" w:type="pct"/>
                  <w:noWrap/>
                  <w:vAlign w:val="center"/>
                </w:tcPr>
                <w:p w14:paraId="1A79F43F">
                  <w:pPr>
                    <w:tabs>
                      <w:tab w:val="left" w:pos="0"/>
                    </w:tabs>
                    <w:jc w:val="center"/>
                    <w:rPr>
                      <w:szCs w:val="21"/>
                    </w:rPr>
                  </w:pPr>
                  <w:r>
                    <w:rPr>
                      <w:rFonts w:hint="eastAsia"/>
                      <w:szCs w:val="21"/>
                    </w:rPr>
                    <w:t>6</w:t>
                  </w:r>
                </w:p>
              </w:tc>
              <w:tc>
                <w:tcPr>
                  <w:tcW w:w="2546" w:type="pct"/>
                  <w:vAlign w:val="center"/>
                </w:tcPr>
                <w:p w14:paraId="4859CF22">
                  <w:pPr>
                    <w:tabs>
                      <w:tab w:val="left" w:pos="0"/>
                    </w:tabs>
                    <w:jc w:val="center"/>
                    <w:rPr>
                      <w:szCs w:val="21"/>
                    </w:rPr>
                  </w:pPr>
                  <w:r>
                    <w:rPr>
                      <w:rFonts w:hint="eastAsia"/>
                      <w:szCs w:val="21"/>
                    </w:rPr>
                    <w:t>禁止在水产种质资源保护区的岸线和河段范围内新建围湖(河）造田(地）等投资建设项目。</w:t>
                  </w:r>
                </w:p>
              </w:tc>
              <w:tc>
                <w:tcPr>
                  <w:tcW w:w="1453" w:type="pct"/>
                  <w:vAlign w:val="center"/>
                </w:tcPr>
                <w:p w14:paraId="0E15FDDA">
                  <w:pPr>
                    <w:tabs>
                      <w:tab w:val="left" w:pos="0"/>
                    </w:tabs>
                    <w:jc w:val="center"/>
                    <w:rPr>
                      <w:szCs w:val="21"/>
                    </w:rPr>
                  </w:pPr>
                  <w:r>
                    <w:rPr>
                      <w:rFonts w:hint="eastAsia"/>
                      <w:szCs w:val="21"/>
                    </w:rPr>
                    <w:t>不涉及。</w:t>
                  </w:r>
                </w:p>
              </w:tc>
              <w:tc>
                <w:tcPr>
                  <w:tcW w:w="571" w:type="pct"/>
                  <w:noWrap/>
                  <w:vAlign w:val="center"/>
                </w:tcPr>
                <w:p w14:paraId="52407700">
                  <w:pPr>
                    <w:tabs>
                      <w:tab w:val="left" w:pos="0"/>
                    </w:tabs>
                    <w:jc w:val="center"/>
                    <w:rPr>
                      <w:szCs w:val="21"/>
                    </w:rPr>
                  </w:pPr>
                  <w:r>
                    <w:rPr>
                      <w:rFonts w:hint="eastAsia"/>
                      <w:szCs w:val="21"/>
                    </w:rPr>
                    <w:t>符合</w:t>
                  </w:r>
                </w:p>
              </w:tc>
            </w:tr>
            <w:tr w14:paraId="281685A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68" w:hRule="atLeast"/>
                <w:jc w:val="center"/>
              </w:trPr>
              <w:tc>
                <w:tcPr>
                  <w:tcW w:w="429" w:type="pct"/>
                  <w:noWrap/>
                  <w:vAlign w:val="center"/>
                </w:tcPr>
                <w:p w14:paraId="3E3DADA7">
                  <w:pPr>
                    <w:tabs>
                      <w:tab w:val="left" w:pos="0"/>
                    </w:tabs>
                    <w:jc w:val="center"/>
                    <w:rPr>
                      <w:szCs w:val="21"/>
                    </w:rPr>
                  </w:pPr>
                  <w:r>
                    <w:rPr>
                      <w:rFonts w:hint="eastAsia"/>
                      <w:szCs w:val="21"/>
                    </w:rPr>
                    <w:t>7</w:t>
                  </w:r>
                </w:p>
              </w:tc>
              <w:tc>
                <w:tcPr>
                  <w:tcW w:w="2546" w:type="pct"/>
                  <w:vAlign w:val="center"/>
                </w:tcPr>
                <w:p w14:paraId="27EC5A7C">
                  <w:pPr>
                    <w:tabs>
                      <w:tab w:val="left" w:pos="0"/>
                    </w:tabs>
                    <w:jc w:val="center"/>
                    <w:rPr>
                      <w:szCs w:val="21"/>
                    </w:rPr>
                  </w:pPr>
                  <w:r>
                    <w:rPr>
                      <w:rFonts w:hint="eastAsia"/>
                      <w:szCs w:val="21"/>
                    </w:rPr>
                    <w:t>禁止在《长江岸线保护和开发利用总体规划》划定的岸线保护区和保留区内投资建设除事关公共安全及公众利益的防洪护岸、河道治理、供水、生态环境保护、航道整治、国家重要基础设施以外的项目。</w:t>
                  </w:r>
                </w:p>
              </w:tc>
              <w:tc>
                <w:tcPr>
                  <w:tcW w:w="1453" w:type="pct"/>
                  <w:vAlign w:val="center"/>
                </w:tcPr>
                <w:p w14:paraId="79AD8E15">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位于划定的岸线保护区、保留区范围内。</w:t>
                  </w:r>
                </w:p>
              </w:tc>
              <w:tc>
                <w:tcPr>
                  <w:tcW w:w="571" w:type="pct"/>
                  <w:noWrap/>
                  <w:vAlign w:val="center"/>
                </w:tcPr>
                <w:p w14:paraId="4D5460AC">
                  <w:pPr>
                    <w:tabs>
                      <w:tab w:val="left" w:pos="0"/>
                    </w:tabs>
                    <w:jc w:val="center"/>
                    <w:rPr>
                      <w:szCs w:val="21"/>
                    </w:rPr>
                  </w:pPr>
                  <w:r>
                    <w:rPr>
                      <w:rFonts w:hint="eastAsia"/>
                      <w:szCs w:val="21"/>
                    </w:rPr>
                    <w:t>符合</w:t>
                  </w:r>
                </w:p>
              </w:tc>
            </w:tr>
            <w:tr w14:paraId="5C1CC1F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200" w:hRule="atLeast"/>
                <w:jc w:val="center"/>
              </w:trPr>
              <w:tc>
                <w:tcPr>
                  <w:tcW w:w="429" w:type="pct"/>
                  <w:noWrap/>
                  <w:vAlign w:val="center"/>
                </w:tcPr>
                <w:p w14:paraId="3F1D85A4">
                  <w:pPr>
                    <w:tabs>
                      <w:tab w:val="left" w:pos="0"/>
                    </w:tabs>
                    <w:jc w:val="center"/>
                    <w:rPr>
                      <w:szCs w:val="21"/>
                    </w:rPr>
                  </w:pPr>
                  <w:r>
                    <w:rPr>
                      <w:rFonts w:hint="eastAsia"/>
                      <w:szCs w:val="21"/>
                    </w:rPr>
                    <w:t>8</w:t>
                  </w:r>
                </w:p>
              </w:tc>
              <w:tc>
                <w:tcPr>
                  <w:tcW w:w="2546" w:type="pct"/>
                  <w:vAlign w:val="center"/>
                </w:tcPr>
                <w:p w14:paraId="15EE7248">
                  <w:pPr>
                    <w:tabs>
                      <w:tab w:val="left" w:pos="0"/>
                    </w:tabs>
                    <w:jc w:val="center"/>
                    <w:rPr>
                      <w:szCs w:val="21"/>
                    </w:rPr>
                  </w:pPr>
                  <w:r>
                    <w:rPr>
                      <w:rFonts w:hint="eastAsia"/>
                      <w:szCs w:val="21"/>
                    </w:rPr>
                    <w:t>禁止在《全国重要江河湖泊水功能区划》划定的河段及湖泊保护区、保留区内投资建设不利于水资源及自然生态保护的项目。</w:t>
                  </w:r>
                </w:p>
              </w:tc>
              <w:tc>
                <w:tcPr>
                  <w:tcW w:w="1453" w:type="pct"/>
                  <w:vAlign w:val="center"/>
                </w:tcPr>
                <w:p w14:paraId="0FEBE5E7">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位于划定的河段及湖泊保护区、保留区范围内。</w:t>
                  </w:r>
                </w:p>
              </w:tc>
              <w:tc>
                <w:tcPr>
                  <w:tcW w:w="571" w:type="pct"/>
                  <w:noWrap/>
                  <w:vAlign w:val="center"/>
                </w:tcPr>
                <w:p w14:paraId="52FF76AA">
                  <w:pPr>
                    <w:tabs>
                      <w:tab w:val="left" w:pos="0"/>
                    </w:tabs>
                    <w:jc w:val="center"/>
                    <w:rPr>
                      <w:szCs w:val="21"/>
                    </w:rPr>
                  </w:pPr>
                  <w:r>
                    <w:rPr>
                      <w:rFonts w:hint="eastAsia"/>
                      <w:szCs w:val="21"/>
                    </w:rPr>
                    <w:t>符合</w:t>
                  </w:r>
                </w:p>
              </w:tc>
            </w:tr>
            <w:tr w14:paraId="12947B0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59" w:hRule="atLeast"/>
                <w:jc w:val="center"/>
              </w:trPr>
              <w:tc>
                <w:tcPr>
                  <w:tcW w:w="429" w:type="pct"/>
                  <w:noWrap/>
                  <w:vAlign w:val="center"/>
                </w:tcPr>
                <w:p w14:paraId="64DCA0BD">
                  <w:pPr>
                    <w:tabs>
                      <w:tab w:val="left" w:pos="0"/>
                    </w:tabs>
                    <w:jc w:val="center"/>
                    <w:rPr>
                      <w:szCs w:val="21"/>
                    </w:rPr>
                  </w:pPr>
                  <w:r>
                    <w:rPr>
                      <w:rFonts w:hint="eastAsia"/>
                      <w:szCs w:val="21"/>
                    </w:rPr>
                    <w:t>9</w:t>
                  </w:r>
                </w:p>
              </w:tc>
              <w:tc>
                <w:tcPr>
                  <w:tcW w:w="2546" w:type="pct"/>
                  <w:vAlign w:val="center"/>
                </w:tcPr>
                <w:p w14:paraId="2F43ADDA">
                  <w:pPr>
                    <w:tabs>
                      <w:tab w:val="left" w:pos="0"/>
                    </w:tabs>
                    <w:jc w:val="center"/>
                    <w:rPr>
                      <w:szCs w:val="21"/>
                    </w:rPr>
                  </w:pPr>
                  <w:r>
                    <w:rPr>
                      <w:rFonts w:hint="eastAsia"/>
                      <w:szCs w:val="21"/>
                    </w:rPr>
                    <w:t>禁止未经许可在长江干支流及湖泊新设、改设或扩大排污口。</w:t>
                  </w:r>
                </w:p>
              </w:tc>
              <w:tc>
                <w:tcPr>
                  <w:tcW w:w="1453" w:type="pct"/>
                  <w:vAlign w:val="center"/>
                </w:tcPr>
                <w:p w14:paraId="0551C1CE">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涉及长江干支流及湖泊</w:t>
                  </w:r>
                  <w:r>
                    <w:rPr>
                      <w:szCs w:val="21"/>
                    </w:rPr>
                    <w:t>新设、改设或扩大排污</w:t>
                  </w:r>
                  <w:r>
                    <w:rPr>
                      <w:rFonts w:hint="eastAsia"/>
                      <w:szCs w:val="21"/>
                    </w:rPr>
                    <w:t>口，若涉及入河排污口将按照要求提交审核。</w:t>
                  </w:r>
                </w:p>
              </w:tc>
              <w:tc>
                <w:tcPr>
                  <w:tcW w:w="571" w:type="pct"/>
                  <w:noWrap/>
                  <w:vAlign w:val="center"/>
                </w:tcPr>
                <w:p w14:paraId="163D28D6">
                  <w:pPr>
                    <w:tabs>
                      <w:tab w:val="left" w:pos="0"/>
                    </w:tabs>
                    <w:jc w:val="center"/>
                    <w:rPr>
                      <w:szCs w:val="21"/>
                    </w:rPr>
                  </w:pPr>
                  <w:r>
                    <w:rPr>
                      <w:rFonts w:hint="eastAsia"/>
                      <w:szCs w:val="21"/>
                    </w:rPr>
                    <w:t>符合</w:t>
                  </w:r>
                </w:p>
              </w:tc>
            </w:tr>
            <w:tr w14:paraId="4B452EC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29" w:type="pct"/>
                  <w:noWrap/>
                  <w:vAlign w:val="center"/>
                </w:tcPr>
                <w:p w14:paraId="570D7C29">
                  <w:pPr>
                    <w:tabs>
                      <w:tab w:val="left" w:pos="0"/>
                    </w:tabs>
                    <w:jc w:val="center"/>
                    <w:rPr>
                      <w:szCs w:val="21"/>
                    </w:rPr>
                  </w:pPr>
                  <w:r>
                    <w:rPr>
                      <w:rFonts w:hint="eastAsia"/>
                      <w:szCs w:val="21"/>
                    </w:rPr>
                    <w:t>10</w:t>
                  </w:r>
                </w:p>
              </w:tc>
              <w:tc>
                <w:tcPr>
                  <w:tcW w:w="2546" w:type="pct"/>
                  <w:vAlign w:val="center"/>
                </w:tcPr>
                <w:p w14:paraId="49D3323B">
                  <w:pPr>
                    <w:tabs>
                      <w:tab w:val="left" w:pos="0"/>
                    </w:tabs>
                    <w:jc w:val="center"/>
                    <w:rPr>
                      <w:szCs w:val="21"/>
                    </w:rPr>
                  </w:pPr>
                  <w:r>
                    <w:rPr>
                      <w:rFonts w:hint="eastAsia"/>
                      <w:szCs w:val="21"/>
                    </w:rPr>
                    <w:t>禁止在长江干流江西段、鄱阳湖和《率先全面禁捕的长江流域水生生物保护区名录》中的水生生物保护区开展生产性捕捞。</w:t>
                  </w:r>
                </w:p>
              </w:tc>
              <w:tc>
                <w:tcPr>
                  <w:tcW w:w="1453" w:type="pct"/>
                  <w:vAlign w:val="center"/>
                </w:tcPr>
                <w:p w14:paraId="3526C59A">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涉及捕捞。</w:t>
                  </w:r>
                </w:p>
              </w:tc>
              <w:tc>
                <w:tcPr>
                  <w:tcW w:w="571" w:type="pct"/>
                  <w:noWrap/>
                  <w:vAlign w:val="center"/>
                </w:tcPr>
                <w:p w14:paraId="113BFDA7">
                  <w:pPr>
                    <w:tabs>
                      <w:tab w:val="left" w:pos="0"/>
                    </w:tabs>
                    <w:jc w:val="center"/>
                    <w:rPr>
                      <w:szCs w:val="21"/>
                    </w:rPr>
                  </w:pPr>
                  <w:r>
                    <w:rPr>
                      <w:rFonts w:hint="eastAsia"/>
                      <w:szCs w:val="21"/>
                    </w:rPr>
                    <w:t>符合</w:t>
                  </w:r>
                </w:p>
              </w:tc>
            </w:tr>
            <w:tr w14:paraId="073EC5B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429" w:type="pct"/>
                  <w:noWrap/>
                  <w:vAlign w:val="center"/>
                </w:tcPr>
                <w:p w14:paraId="44A75A99">
                  <w:pPr>
                    <w:tabs>
                      <w:tab w:val="left" w:pos="0"/>
                    </w:tabs>
                    <w:jc w:val="center"/>
                    <w:rPr>
                      <w:szCs w:val="21"/>
                    </w:rPr>
                  </w:pPr>
                  <w:r>
                    <w:rPr>
                      <w:rFonts w:hint="eastAsia"/>
                      <w:szCs w:val="21"/>
                    </w:rPr>
                    <w:t>11</w:t>
                  </w:r>
                </w:p>
              </w:tc>
              <w:tc>
                <w:tcPr>
                  <w:tcW w:w="2546" w:type="pct"/>
                  <w:vAlign w:val="center"/>
                </w:tcPr>
                <w:p w14:paraId="53AEAF8D">
                  <w:pPr>
                    <w:tabs>
                      <w:tab w:val="left" w:pos="0"/>
                    </w:tabs>
                    <w:jc w:val="center"/>
                    <w:rPr>
                      <w:szCs w:val="21"/>
                    </w:rPr>
                  </w:pPr>
                  <w:r>
                    <w:rPr>
                      <w:rFonts w:hint="eastAsia"/>
                      <w:szCs w:val="21"/>
                    </w:rPr>
                    <w:t>禁止在长江干支流、重要湖泊岸线一公里范围内新建、扩建化工园区和化工项目。</w:t>
                  </w:r>
                </w:p>
              </w:tc>
              <w:tc>
                <w:tcPr>
                  <w:tcW w:w="1453" w:type="pct"/>
                  <w:vAlign w:val="center"/>
                </w:tcPr>
                <w:p w14:paraId="5CB2153C">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属于化工园区和化工项目。</w:t>
                  </w:r>
                </w:p>
              </w:tc>
              <w:tc>
                <w:tcPr>
                  <w:tcW w:w="571" w:type="pct"/>
                  <w:noWrap/>
                  <w:vAlign w:val="center"/>
                </w:tcPr>
                <w:p w14:paraId="3BAF4AA1">
                  <w:pPr>
                    <w:tabs>
                      <w:tab w:val="left" w:pos="0"/>
                    </w:tabs>
                    <w:jc w:val="center"/>
                    <w:rPr>
                      <w:szCs w:val="21"/>
                    </w:rPr>
                  </w:pPr>
                  <w:r>
                    <w:rPr>
                      <w:rFonts w:hint="eastAsia"/>
                      <w:szCs w:val="21"/>
                    </w:rPr>
                    <w:t>符合</w:t>
                  </w:r>
                </w:p>
              </w:tc>
            </w:tr>
            <w:tr w14:paraId="5235690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44" w:hRule="atLeast"/>
                <w:jc w:val="center"/>
              </w:trPr>
              <w:tc>
                <w:tcPr>
                  <w:tcW w:w="429" w:type="pct"/>
                  <w:noWrap/>
                  <w:vAlign w:val="center"/>
                </w:tcPr>
                <w:p w14:paraId="2120714B">
                  <w:pPr>
                    <w:tabs>
                      <w:tab w:val="left" w:pos="0"/>
                    </w:tabs>
                    <w:jc w:val="center"/>
                    <w:rPr>
                      <w:szCs w:val="21"/>
                    </w:rPr>
                  </w:pPr>
                  <w:r>
                    <w:rPr>
                      <w:rFonts w:hint="eastAsia"/>
                      <w:szCs w:val="21"/>
                    </w:rPr>
                    <w:t>12</w:t>
                  </w:r>
                </w:p>
              </w:tc>
              <w:tc>
                <w:tcPr>
                  <w:tcW w:w="2546" w:type="pct"/>
                  <w:vAlign w:val="center"/>
                </w:tcPr>
                <w:p w14:paraId="228D0800">
                  <w:pPr>
                    <w:tabs>
                      <w:tab w:val="left" w:pos="0"/>
                    </w:tabs>
                    <w:jc w:val="center"/>
                    <w:rPr>
                      <w:szCs w:val="21"/>
                    </w:rPr>
                  </w:pPr>
                  <w:r>
                    <w:rPr>
                      <w:rFonts w:hint="eastAsia"/>
                      <w:szCs w:val="21"/>
                    </w:rPr>
                    <w:t>禁止在长江干流岸线三公里范围内和重要支流岸线一公里范围内新建、改建、扩建尾矿库、冶炼渣库和磷石膏库，以提升安全、生态环境保护水平为目的改建除外。</w:t>
                  </w:r>
                </w:p>
              </w:tc>
              <w:tc>
                <w:tcPr>
                  <w:tcW w:w="1453" w:type="pct"/>
                  <w:vAlign w:val="center"/>
                </w:tcPr>
                <w:p w14:paraId="064FC7DC">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属于尾矿库、冶炼渣库和磷石膏库项目，不在长江干支流1km范围内，不在长江干流岸线3km范围内。</w:t>
                  </w:r>
                </w:p>
              </w:tc>
              <w:tc>
                <w:tcPr>
                  <w:tcW w:w="571" w:type="pct"/>
                  <w:noWrap/>
                  <w:vAlign w:val="center"/>
                </w:tcPr>
                <w:p w14:paraId="7CA0472C">
                  <w:pPr>
                    <w:tabs>
                      <w:tab w:val="left" w:pos="0"/>
                    </w:tabs>
                    <w:jc w:val="center"/>
                    <w:rPr>
                      <w:szCs w:val="21"/>
                    </w:rPr>
                  </w:pPr>
                  <w:r>
                    <w:rPr>
                      <w:rFonts w:hint="eastAsia"/>
                      <w:szCs w:val="21"/>
                    </w:rPr>
                    <w:t>符合</w:t>
                  </w:r>
                </w:p>
              </w:tc>
            </w:tr>
            <w:tr w14:paraId="1A7EAFD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85" w:hRule="atLeast"/>
                <w:jc w:val="center"/>
              </w:trPr>
              <w:tc>
                <w:tcPr>
                  <w:tcW w:w="429" w:type="pct"/>
                  <w:noWrap/>
                  <w:vAlign w:val="center"/>
                </w:tcPr>
                <w:p w14:paraId="6B91784A">
                  <w:pPr>
                    <w:tabs>
                      <w:tab w:val="left" w:pos="0"/>
                    </w:tabs>
                    <w:jc w:val="center"/>
                    <w:rPr>
                      <w:szCs w:val="21"/>
                    </w:rPr>
                  </w:pPr>
                  <w:r>
                    <w:rPr>
                      <w:rFonts w:hint="eastAsia"/>
                      <w:szCs w:val="21"/>
                    </w:rPr>
                    <w:t>13</w:t>
                  </w:r>
                </w:p>
              </w:tc>
              <w:tc>
                <w:tcPr>
                  <w:tcW w:w="2546" w:type="pct"/>
                  <w:vAlign w:val="center"/>
                </w:tcPr>
                <w:p w14:paraId="126DE573">
                  <w:pPr>
                    <w:tabs>
                      <w:tab w:val="left" w:pos="0"/>
                    </w:tabs>
                    <w:jc w:val="center"/>
                    <w:rPr>
                      <w:szCs w:val="21"/>
                    </w:rPr>
                  </w:pPr>
                  <w:r>
                    <w:rPr>
                      <w:rFonts w:hint="eastAsia"/>
                      <w:szCs w:val="21"/>
                    </w:rPr>
                    <w:t>禁止在合规园区外新建、扩建钢铁、石化、化工、焦化、建材、有色、制浆造纸等高污染项目。</w:t>
                  </w:r>
                </w:p>
              </w:tc>
              <w:tc>
                <w:tcPr>
                  <w:tcW w:w="1453" w:type="pct"/>
                  <w:vAlign w:val="center"/>
                </w:tcPr>
                <w:p w14:paraId="6516C1A2">
                  <w:pPr>
                    <w:tabs>
                      <w:tab w:val="left" w:pos="0"/>
                    </w:tabs>
                    <w:jc w:val="center"/>
                    <w:rPr>
                      <w:szCs w:val="21"/>
                    </w:rPr>
                  </w:pPr>
                  <w:r>
                    <w:rPr>
                      <w:rFonts w:hint="eastAsia"/>
                      <w:szCs w:val="21"/>
                    </w:rPr>
                    <w:t>本项目工程</w:t>
                  </w:r>
                  <w:r>
                    <w:rPr>
                      <w:rFonts w:hint="eastAsia"/>
                      <w:szCs w:val="21"/>
                      <w:lang w:eastAsia="zh-CN"/>
                    </w:rPr>
                    <w:t>不</w:t>
                  </w:r>
                  <w:r>
                    <w:rPr>
                      <w:szCs w:val="21"/>
                    </w:rPr>
                    <w:t>属于钢铁、石化、化工、焦化、建材、有色、制浆造纸</w:t>
                  </w:r>
                  <w:r>
                    <w:rPr>
                      <w:rFonts w:hint="eastAsia"/>
                      <w:szCs w:val="21"/>
                    </w:rPr>
                    <w:t>等</w:t>
                  </w:r>
                  <w:r>
                    <w:rPr>
                      <w:szCs w:val="21"/>
                    </w:rPr>
                    <w:t>项目</w:t>
                  </w:r>
                  <w:r>
                    <w:rPr>
                      <w:rFonts w:hint="eastAsia"/>
                      <w:szCs w:val="21"/>
                    </w:rPr>
                    <w:t>。</w:t>
                  </w:r>
                </w:p>
              </w:tc>
              <w:tc>
                <w:tcPr>
                  <w:tcW w:w="571" w:type="pct"/>
                  <w:noWrap/>
                  <w:vAlign w:val="center"/>
                </w:tcPr>
                <w:p w14:paraId="52409B95">
                  <w:pPr>
                    <w:tabs>
                      <w:tab w:val="left" w:pos="0"/>
                    </w:tabs>
                    <w:jc w:val="center"/>
                    <w:rPr>
                      <w:szCs w:val="21"/>
                    </w:rPr>
                  </w:pPr>
                  <w:r>
                    <w:rPr>
                      <w:rFonts w:hint="eastAsia"/>
                      <w:szCs w:val="21"/>
                    </w:rPr>
                    <w:t>符合</w:t>
                  </w:r>
                </w:p>
              </w:tc>
            </w:tr>
            <w:tr w14:paraId="4E284C8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5" w:hRule="atLeast"/>
                <w:jc w:val="center"/>
              </w:trPr>
              <w:tc>
                <w:tcPr>
                  <w:tcW w:w="429" w:type="pct"/>
                  <w:noWrap/>
                  <w:vAlign w:val="center"/>
                </w:tcPr>
                <w:p w14:paraId="16986814">
                  <w:pPr>
                    <w:tabs>
                      <w:tab w:val="left" w:pos="0"/>
                    </w:tabs>
                    <w:jc w:val="center"/>
                    <w:rPr>
                      <w:szCs w:val="21"/>
                    </w:rPr>
                  </w:pPr>
                  <w:r>
                    <w:rPr>
                      <w:rFonts w:hint="eastAsia"/>
                      <w:szCs w:val="21"/>
                    </w:rPr>
                    <w:t>14</w:t>
                  </w:r>
                </w:p>
              </w:tc>
              <w:tc>
                <w:tcPr>
                  <w:tcW w:w="2546" w:type="pct"/>
                  <w:vAlign w:val="center"/>
                </w:tcPr>
                <w:p w14:paraId="3F228CE2">
                  <w:pPr>
                    <w:tabs>
                      <w:tab w:val="left" w:pos="0"/>
                    </w:tabs>
                    <w:jc w:val="center"/>
                    <w:rPr>
                      <w:szCs w:val="21"/>
                    </w:rPr>
                  </w:pPr>
                  <w:r>
                    <w:rPr>
                      <w:rFonts w:hint="eastAsia"/>
                      <w:szCs w:val="21"/>
                    </w:rPr>
                    <w:t>禁止新建、扩建不符合国家石化、现代煤化工等产业布局规划的项目。</w:t>
                  </w:r>
                </w:p>
              </w:tc>
              <w:tc>
                <w:tcPr>
                  <w:tcW w:w="1453" w:type="pct"/>
                  <w:vAlign w:val="center"/>
                </w:tcPr>
                <w:p w14:paraId="0207BEDC">
                  <w:pPr>
                    <w:tabs>
                      <w:tab w:val="left" w:pos="0"/>
                    </w:tabs>
                    <w:jc w:val="center"/>
                    <w:rPr>
                      <w:szCs w:val="21"/>
                    </w:rPr>
                  </w:pPr>
                  <w:r>
                    <w:rPr>
                      <w:rFonts w:hint="eastAsia"/>
                      <w:szCs w:val="21"/>
                    </w:rPr>
                    <w:t>本项目工程</w:t>
                  </w:r>
                  <w:r>
                    <w:rPr>
                      <w:rFonts w:hint="eastAsia"/>
                      <w:szCs w:val="21"/>
                      <w:lang w:eastAsia="zh-CN"/>
                    </w:rPr>
                    <w:t>不</w:t>
                  </w:r>
                  <w:r>
                    <w:rPr>
                      <w:szCs w:val="21"/>
                    </w:rPr>
                    <w:t>属于</w:t>
                  </w:r>
                  <w:r>
                    <w:rPr>
                      <w:rFonts w:hint="eastAsia"/>
                      <w:szCs w:val="21"/>
                    </w:rPr>
                    <w:t>不符合国家石化、现代煤化工等产业布局规划的项目。</w:t>
                  </w:r>
                </w:p>
              </w:tc>
              <w:tc>
                <w:tcPr>
                  <w:tcW w:w="571" w:type="pct"/>
                  <w:noWrap/>
                  <w:vAlign w:val="center"/>
                </w:tcPr>
                <w:p w14:paraId="4C29CC96">
                  <w:pPr>
                    <w:tabs>
                      <w:tab w:val="left" w:pos="0"/>
                    </w:tabs>
                    <w:jc w:val="center"/>
                    <w:rPr>
                      <w:szCs w:val="21"/>
                    </w:rPr>
                  </w:pPr>
                  <w:r>
                    <w:rPr>
                      <w:rFonts w:hint="eastAsia"/>
                      <w:szCs w:val="21"/>
                    </w:rPr>
                    <w:t>符合</w:t>
                  </w:r>
                </w:p>
              </w:tc>
            </w:tr>
            <w:tr w14:paraId="1AE4768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726" w:hRule="atLeast"/>
                <w:jc w:val="center"/>
              </w:trPr>
              <w:tc>
                <w:tcPr>
                  <w:tcW w:w="429" w:type="pct"/>
                  <w:noWrap/>
                  <w:vAlign w:val="center"/>
                </w:tcPr>
                <w:p w14:paraId="3A751643">
                  <w:pPr>
                    <w:tabs>
                      <w:tab w:val="left" w:pos="0"/>
                    </w:tabs>
                    <w:jc w:val="center"/>
                    <w:rPr>
                      <w:szCs w:val="21"/>
                    </w:rPr>
                  </w:pPr>
                  <w:r>
                    <w:rPr>
                      <w:rFonts w:hint="eastAsia"/>
                      <w:szCs w:val="21"/>
                    </w:rPr>
                    <w:t>15</w:t>
                  </w:r>
                </w:p>
              </w:tc>
              <w:tc>
                <w:tcPr>
                  <w:tcW w:w="2546" w:type="pct"/>
                  <w:vAlign w:val="center"/>
                </w:tcPr>
                <w:p w14:paraId="39EAC835">
                  <w:pPr>
                    <w:tabs>
                      <w:tab w:val="left" w:pos="0"/>
                    </w:tabs>
                    <w:jc w:val="center"/>
                    <w:rPr>
                      <w:szCs w:val="21"/>
                    </w:rPr>
                  </w:pPr>
                  <w:r>
                    <w:rPr>
                      <w:rFonts w:hint="eastAsia"/>
                      <w:szCs w:val="21"/>
                    </w:rPr>
                    <w:t>禁止新建、扩建法律法规和相关政策明令禁止的落后产能项目，严格执行《产业结构调整指导目录》中淘汰类和限制类有关规定，禁止开展投资建设属于淘汰类的项目及其相关活动，禁止开展投资新建、扩建属于限制类的项目及其相关活动。对于属于限制类的现有生产能力，允许企业在一定期限内采取措施改造升级，严禁以改造为名扩大产能。</w:t>
                  </w:r>
                </w:p>
              </w:tc>
              <w:tc>
                <w:tcPr>
                  <w:tcW w:w="1453" w:type="pct"/>
                  <w:vAlign w:val="center"/>
                </w:tcPr>
                <w:p w14:paraId="5DEF04CB">
                  <w:pPr>
                    <w:tabs>
                      <w:tab w:val="left" w:pos="0"/>
                    </w:tabs>
                    <w:jc w:val="center"/>
                    <w:rPr>
                      <w:szCs w:val="21"/>
                    </w:rPr>
                  </w:pPr>
                  <w:r>
                    <w:rPr>
                      <w:rFonts w:hint="eastAsia"/>
                      <w:szCs w:val="21"/>
                    </w:rPr>
                    <w:t>本项目工程</w:t>
                  </w:r>
                  <w:r>
                    <w:rPr>
                      <w:szCs w:val="21"/>
                    </w:rPr>
                    <w:t>属于</w:t>
                  </w:r>
                  <w:r>
                    <w:rPr>
                      <w:rFonts w:hint="eastAsia"/>
                      <w:szCs w:val="21"/>
                    </w:rPr>
                    <w:t>《产业结构调整指导目录（2024年本）》中鼓励类</w:t>
                  </w:r>
                  <w:r>
                    <w:rPr>
                      <w:szCs w:val="21"/>
                    </w:rPr>
                    <w:t>项目</w:t>
                  </w:r>
                  <w:r>
                    <w:rPr>
                      <w:rFonts w:hint="eastAsia"/>
                      <w:szCs w:val="21"/>
                    </w:rPr>
                    <w:t>。</w:t>
                  </w:r>
                </w:p>
              </w:tc>
              <w:tc>
                <w:tcPr>
                  <w:tcW w:w="571" w:type="pct"/>
                  <w:noWrap/>
                  <w:vAlign w:val="center"/>
                </w:tcPr>
                <w:p w14:paraId="5E144731">
                  <w:pPr>
                    <w:tabs>
                      <w:tab w:val="left" w:pos="0"/>
                    </w:tabs>
                    <w:jc w:val="center"/>
                    <w:rPr>
                      <w:szCs w:val="21"/>
                    </w:rPr>
                  </w:pPr>
                  <w:r>
                    <w:rPr>
                      <w:rFonts w:hint="eastAsia"/>
                      <w:szCs w:val="21"/>
                    </w:rPr>
                    <w:t>符合</w:t>
                  </w:r>
                </w:p>
              </w:tc>
            </w:tr>
            <w:tr w14:paraId="3FDA815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843" w:hRule="atLeast"/>
                <w:jc w:val="center"/>
              </w:trPr>
              <w:tc>
                <w:tcPr>
                  <w:tcW w:w="429" w:type="pct"/>
                  <w:noWrap/>
                  <w:vAlign w:val="center"/>
                </w:tcPr>
                <w:p w14:paraId="61268DCC">
                  <w:pPr>
                    <w:tabs>
                      <w:tab w:val="left" w:pos="0"/>
                    </w:tabs>
                    <w:jc w:val="center"/>
                    <w:rPr>
                      <w:szCs w:val="21"/>
                    </w:rPr>
                  </w:pPr>
                  <w:r>
                    <w:rPr>
                      <w:rFonts w:hint="eastAsia"/>
                      <w:szCs w:val="21"/>
                    </w:rPr>
                    <w:t>16</w:t>
                  </w:r>
                </w:p>
              </w:tc>
              <w:tc>
                <w:tcPr>
                  <w:tcW w:w="2546" w:type="pct"/>
                  <w:vAlign w:val="center"/>
                </w:tcPr>
                <w:p w14:paraId="1309FEE2">
                  <w:pPr>
                    <w:tabs>
                      <w:tab w:val="left" w:pos="0"/>
                    </w:tabs>
                    <w:jc w:val="center"/>
                    <w:rPr>
                      <w:szCs w:val="21"/>
                    </w:rPr>
                  </w:pPr>
                  <w:r>
                    <w:rPr>
                      <w:rFonts w:hint="eastAsia"/>
                      <w:szCs w:val="21"/>
                    </w:rPr>
                    <w:t>禁止新建、扩建不符合国家产能置换要求的钢铁、电解铝、水泥熟料、平板玻璃、船舶等严重过剩产能行业的项目。</w:t>
                  </w:r>
                </w:p>
              </w:tc>
              <w:tc>
                <w:tcPr>
                  <w:tcW w:w="1453" w:type="pct"/>
                  <w:vAlign w:val="center"/>
                </w:tcPr>
                <w:p w14:paraId="6FBBD6ED">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属于钢铁、电解铝、水泥熟料、平板玻璃、船舶等严重过剩产能行业。</w:t>
                  </w:r>
                </w:p>
              </w:tc>
              <w:tc>
                <w:tcPr>
                  <w:tcW w:w="571" w:type="pct"/>
                  <w:noWrap/>
                  <w:vAlign w:val="center"/>
                </w:tcPr>
                <w:p w14:paraId="0E162A59">
                  <w:pPr>
                    <w:tabs>
                      <w:tab w:val="left" w:pos="0"/>
                    </w:tabs>
                    <w:jc w:val="center"/>
                    <w:rPr>
                      <w:szCs w:val="21"/>
                    </w:rPr>
                  </w:pPr>
                  <w:r>
                    <w:rPr>
                      <w:rFonts w:hint="eastAsia"/>
                      <w:szCs w:val="21"/>
                    </w:rPr>
                    <w:t>符合</w:t>
                  </w:r>
                </w:p>
              </w:tc>
            </w:tr>
            <w:tr w14:paraId="24CDEFB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99" w:hRule="atLeast"/>
                <w:jc w:val="center"/>
              </w:trPr>
              <w:tc>
                <w:tcPr>
                  <w:tcW w:w="429" w:type="pct"/>
                  <w:noWrap/>
                  <w:vAlign w:val="center"/>
                </w:tcPr>
                <w:p w14:paraId="44F18187">
                  <w:pPr>
                    <w:tabs>
                      <w:tab w:val="left" w:pos="0"/>
                    </w:tabs>
                    <w:jc w:val="center"/>
                    <w:rPr>
                      <w:szCs w:val="21"/>
                    </w:rPr>
                  </w:pPr>
                  <w:r>
                    <w:rPr>
                      <w:rFonts w:hint="eastAsia"/>
                      <w:szCs w:val="21"/>
                    </w:rPr>
                    <w:t>17</w:t>
                  </w:r>
                </w:p>
              </w:tc>
              <w:tc>
                <w:tcPr>
                  <w:tcW w:w="2546" w:type="pct"/>
                  <w:vAlign w:val="center"/>
                </w:tcPr>
                <w:p w14:paraId="27304CCD">
                  <w:pPr>
                    <w:tabs>
                      <w:tab w:val="left" w:pos="0"/>
                    </w:tabs>
                    <w:jc w:val="center"/>
                    <w:rPr>
                      <w:szCs w:val="21"/>
                    </w:rPr>
                  </w:pPr>
                  <w:r>
                    <w:rPr>
                      <w:rFonts w:hint="eastAsia"/>
                      <w:szCs w:val="21"/>
                    </w:rPr>
                    <w:t>禁止新建、扩建不符合要求的高耗能高排放项目。</w:t>
                  </w:r>
                </w:p>
              </w:tc>
              <w:tc>
                <w:tcPr>
                  <w:tcW w:w="1453" w:type="pct"/>
                  <w:vAlign w:val="center"/>
                </w:tcPr>
                <w:p w14:paraId="5BB487C6">
                  <w:pPr>
                    <w:tabs>
                      <w:tab w:val="left" w:pos="0"/>
                    </w:tabs>
                    <w:jc w:val="center"/>
                    <w:rPr>
                      <w:szCs w:val="21"/>
                    </w:rPr>
                  </w:pPr>
                  <w:r>
                    <w:rPr>
                      <w:rFonts w:hint="eastAsia"/>
                      <w:szCs w:val="21"/>
                    </w:rPr>
                    <w:t>本项目工程</w:t>
                  </w:r>
                  <w:r>
                    <w:rPr>
                      <w:rFonts w:hint="eastAsia"/>
                      <w:szCs w:val="21"/>
                      <w:lang w:eastAsia="zh-CN"/>
                    </w:rPr>
                    <w:t>不</w:t>
                  </w:r>
                  <w:r>
                    <w:rPr>
                      <w:rFonts w:hint="eastAsia"/>
                      <w:szCs w:val="21"/>
                    </w:rPr>
                    <w:t>属于高耗能排放项目。</w:t>
                  </w:r>
                </w:p>
              </w:tc>
              <w:tc>
                <w:tcPr>
                  <w:tcW w:w="571" w:type="pct"/>
                  <w:noWrap/>
                  <w:vAlign w:val="center"/>
                </w:tcPr>
                <w:p w14:paraId="08EE7655">
                  <w:pPr>
                    <w:tabs>
                      <w:tab w:val="left" w:pos="0"/>
                    </w:tabs>
                    <w:jc w:val="center"/>
                    <w:rPr>
                      <w:szCs w:val="21"/>
                    </w:rPr>
                  </w:pPr>
                  <w:r>
                    <w:rPr>
                      <w:rFonts w:hint="eastAsia"/>
                      <w:szCs w:val="21"/>
                    </w:rPr>
                    <w:t>符合</w:t>
                  </w:r>
                </w:p>
              </w:tc>
            </w:tr>
          </w:tbl>
          <w:p w14:paraId="652C7E02">
            <w:pPr>
              <w:pStyle w:val="52"/>
            </w:pPr>
            <w:r>
              <w:t>与《中华人民共和国长江保护法》符合性分析</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28" w:type="dxa"/>
                <w:bottom w:w="28" w:type="dxa"/>
                <w:right w:w="28" w:type="dxa"/>
              </w:tblCellMar>
            </w:tblPr>
            <w:tblGrid>
              <w:gridCol w:w="5293"/>
              <w:gridCol w:w="1782"/>
              <w:gridCol w:w="348"/>
            </w:tblGrid>
            <w:tr w14:paraId="544C8D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83" w:hRule="atLeast"/>
                <w:tblHeader/>
              </w:trPr>
              <w:tc>
                <w:tcPr>
                  <w:tcW w:w="5372" w:type="dxa"/>
                  <w:tcBorders>
                    <w:tl2br w:val="nil"/>
                    <w:tr2bl w:val="nil"/>
                  </w:tcBorders>
                  <w:vAlign w:val="center"/>
                </w:tcPr>
                <w:p w14:paraId="57AF5BC1">
                  <w:pPr>
                    <w:pStyle w:val="38"/>
                    <w:rPr>
                      <w:b/>
                      <w:bCs/>
                    </w:rPr>
                  </w:pPr>
                  <w:r>
                    <w:rPr>
                      <w:b/>
                      <w:bCs/>
                    </w:rPr>
                    <w:t>文件要求（摘录）</w:t>
                  </w:r>
                </w:p>
              </w:tc>
              <w:tc>
                <w:tcPr>
                  <w:tcW w:w="1803" w:type="dxa"/>
                  <w:tcBorders>
                    <w:tl2br w:val="nil"/>
                    <w:tr2bl w:val="nil"/>
                  </w:tcBorders>
                  <w:vAlign w:val="center"/>
                </w:tcPr>
                <w:p w14:paraId="59C5B563">
                  <w:pPr>
                    <w:pStyle w:val="38"/>
                    <w:rPr>
                      <w:b/>
                      <w:bCs/>
                    </w:rPr>
                  </w:pPr>
                  <w:r>
                    <w:rPr>
                      <w:b/>
                      <w:bCs/>
                    </w:rPr>
                    <w:t>本项目</w:t>
                  </w:r>
                </w:p>
              </w:tc>
              <w:tc>
                <w:tcPr>
                  <w:tcW w:w="349" w:type="dxa"/>
                  <w:tcBorders>
                    <w:tl2br w:val="nil"/>
                    <w:tr2bl w:val="nil"/>
                  </w:tcBorders>
                  <w:vAlign w:val="center"/>
                </w:tcPr>
                <w:p w14:paraId="3A72FB65">
                  <w:pPr>
                    <w:pStyle w:val="38"/>
                  </w:pPr>
                  <w:r>
                    <w:rPr>
                      <w:rFonts w:hint="eastAsia"/>
                    </w:rPr>
                    <w:t>相符性</w:t>
                  </w:r>
                </w:p>
              </w:tc>
            </w:tr>
            <w:tr w14:paraId="2305AB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83" w:hRule="atLeast"/>
              </w:trPr>
              <w:tc>
                <w:tcPr>
                  <w:tcW w:w="5372" w:type="dxa"/>
                  <w:tcBorders>
                    <w:tl2br w:val="nil"/>
                    <w:tr2bl w:val="nil"/>
                  </w:tcBorders>
                  <w:vAlign w:val="center"/>
                </w:tcPr>
                <w:p w14:paraId="7852A716">
                  <w:pPr>
                    <w:pStyle w:val="38"/>
                  </w:pPr>
                  <w:r>
                    <w:t>禁止在长江干支流岸线一公里范围内新建、扩建化工园区和化工项目。</w:t>
                  </w:r>
                </w:p>
              </w:tc>
              <w:tc>
                <w:tcPr>
                  <w:tcW w:w="1803" w:type="dxa"/>
                  <w:tcBorders>
                    <w:tl2br w:val="nil"/>
                    <w:tr2bl w:val="nil"/>
                  </w:tcBorders>
                  <w:vAlign w:val="center"/>
                </w:tcPr>
                <w:p w14:paraId="08316113">
                  <w:pPr>
                    <w:pStyle w:val="38"/>
                  </w:pPr>
                  <w:r>
                    <w:rPr>
                      <w:rFonts w:hint="eastAsia"/>
                    </w:rPr>
                    <w:t>本项目工程</w:t>
                  </w:r>
                  <w:r>
                    <w:rPr>
                      <w:rFonts w:hint="eastAsia"/>
                      <w:lang w:eastAsia="zh-CN"/>
                    </w:rPr>
                    <w:t>不</w:t>
                  </w:r>
                  <w:r>
                    <w:rPr>
                      <w:rFonts w:hint="eastAsia"/>
                    </w:rPr>
                    <w:t>属于</w:t>
                  </w:r>
                  <w:r>
                    <w:t>化工园区和化工项目</w:t>
                  </w:r>
                </w:p>
              </w:tc>
              <w:tc>
                <w:tcPr>
                  <w:tcW w:w="349" w:type="dxa"/>
                  <w:tcBorders>
                    <w:tl2br w:val="nil"/>
                    <w:tr2bl w:val="nil"/>
                  </w:tcBorders>
                  <w:vAlign w:val="center"/>
                </w:tcPr>
                <w:p w14:paraId="0ABD9E81">
                  <w:pPr>
                    <w:pStyle w:val="38"/>
                  </w:pPr>
                  <w:r>
                    <w:rPr>
                      <w:rFonts w:hint="eastAsia"/>
                    </w:rPr>
                    <w:t>符合</w:t>
                  </w:r>
                </w:p>
              </w:tc>
            </w:tr>
            <w:tr w14:paraId="30FC2F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83" w:hRule="atLeast"/>
              </w:trPr>
              <w:tc>
                <w:tcPr>
                  <w:tcW w:w="5372" w:type="dxa"/>
                  <w:tcBorders>
                    <w:tl2br w:val="nil"/>
                    <w:tr2bl w:val="nil"/>
                  </w:tcBorders>
                  <w:vAlign w:val="center"/>
                </w:tcPr>
                <w:p w14:paraId="002E87F5">
                  <w:pPr>
                    <w:pStyle w:val="38"/>
                  </w:pPr>
                  <w:r>
                    <w:t>禁止在长江干流岸线三公里范围内和重要支流岸线一公里范围内新建、改建、扩建尾矿库；但是以提升安全、生态环境保护水平为目的的改建除外。</w:t>
                  </w:r>
                </w:p>
              </w:tc>
              <w:tc>
                <w:tcPr>
                  <w:tcW w:w="1803" w:type="dxa"/>
                  <w:tcBorders>
                    <w:tl2br w:val="nil"/>
                    <w:tr2bl w:val="nil"/>
                  </w:tcBorders>
                  <w:vAlign w:val="center"/>
                </w:tcPr>
                <w:p w14:paraId="475A793D">
                  <w:pPr>
                    <w:pStyle w:val="38"/>
                  </w:pPr>
                  <w:r>
                    <w:rPr>
                      <w:rFonts w:hint="eastAsia"/>
                    </w:rPr>
                    <w:t>本项目工程</w:t>
                  </w:r>
                  <w:r>
                    <w:rPr>
                      <w:rFonts w:hint="eastAsia"/>
                      <w:lang w:eastAsia="zh-CN"/>
                    </w:rPr>
                    <w:t>不</w:t>
                  </w:r>
                  <w:r>
                    <w:t>涉及尾矿库</w:t>
                  </w:r>
                </w:p>
              </w:tc>
              <w:tc>
                <w:tcPr>
                  <w:tcW w:w="349" w:type="dxa"/>
                  <w:tcBorders>
                    <w:tl2br w:val="nil"/>
                    <w:tr2bl w:val="nil"/>
                  </w:tcBorders>
                  <w:vAlign w:val="center"/>
                </w:tcPr>
                <w:p w14:paraId="1D979D93">
                  <w:pPr>
                    <w:pStyle w:val="38"/>
                  </w:pPr>
                  <w:r>
                    <w:rPr>
                      <w:rFonts w:hint="eastAsia"/>
                    </w:rPr>
                    <w:t>符合</w:t>
                  </w:r>
                </w:p>
              </w:tc>
            </w:tr>
            <w:tr w14:paraId="753025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83" w:hRule="atLeast"/>
              </w:trPr>
              <w:tc>
                <w:tcPr>
                  <w:tcW w:w="5372" w:type="dxa"/>
                  <w:tcBorders>
                    <w:tl2br w:val="nil"/>
                    <w:tr2bl w:val="nil"/>
                  </w:tcBorders>
                  <w:vAlign w:val="center"/>
                </w:tcPr>
                <w:p w14:paraId="6328E344">
                  <w:pPr>
                    <w:pStyle w:val="38"/>
                  </w:pPr>
                  <w:r>
                    <w:t>禁止船舶在划定的禁止航行区域内航行。因国家发展战略和国计民生需要，在水生生物重要栖息地禁止航行区域内航行的，应当由国务院交通运输主管部门商国务院农业农村主管部门同意，并应当采取必要措施，减少对重要水生生物的干扰</w:t>
                  </w:r>
                  <w:r>
                    <w:rPr>
                      <w:rFonts w:hint="eastAsia"/>
                    </w:rPr>
                    <w:t>。</w:t>
                  </w:r>
                </w:p>
              </w:tc>
              <w:tc>
                <w:tcPr>
                  <w:tcW w:w="1803" w:type="dxa"/>
                  <w:tcBorders>
                    <w:tl2br w:val="nil"/>
                    <w:tr2bl w:val="nil"/>
                  </w:tcBorders>
                  <w:vAlign w:val="center"/>
                </w:tcPr>
                <w:p w14:paraId="4171205B">
                  <w:pPr>
                    <w:pStyle w:val="38"/>
                  </w:pPr>
                  <w:r>
                    <w:rPr>
                      <w:rFonts w:hint="eastAsia"/>
                    </w:rPr>
                    <w:t>本项目工程</w:t>
                  </w:r>
                  <w:r>
                    <w:rPr>
                      <w:rFonts w:hint="eastAsia"/>
                      <w:lang w:eastAsia="zh-CN"/>
                    </w:rPr>
                    <w:t>不</w:t>
                  </w:r>
                  <w:r>
                    <w:t>涉及航道航行</w:t>
                  </w:r>
                </w:p>
              </w:tc>
              <w:tc>
                <w:tcPr>
                  <w:tcW w:w="349" w:type="dxa"/>
                  <w:tcBorders>
                    <w:tl2br w:val="nil"/>
                    <w:tr2bl w:val="nil"/>
                  </w:tcBorders>
                  <w:vAlign w:val="center"/>
                </w:tcPr>
                <w:p w14:paraId="57F589A2">
                  <w:pPr>
                    <w:pStyle w:val="38"/>
                  </w:pPr>
                  <w:r>
                    <w:rPr>
                      <w:rFonts w:hint="eastAsia"/>
                    </w:rPr>
                    <w:t>符合</w:t>
                  </w:r>
                </w:p>
              </w:tc>
            </w:tr>
            <w:tr w14:paraId="5789E7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83" w:hRule="atLeast"/>
              </w:trPr>
              <w:tc>
                <w:tcPr>
                  <w:tcW w:w="5372" w:type="dxa"/>
                  <w:tcBorders>
                    <w:tl2br w:val="nil"/>
                    <w:tr2bl w:val="nil"/>
                  </w:tcBorders>
                  <w:vAlign w:val="center"/>
                </w:tcPr>
                <w:p w14:paraId="35D9B2BD">
                  <w:pPr>
                    <w:pStyle w:val="38"/>
                  </w:pPr>
                  <w:r>
                    <w:t>严格限制在长江流域生态保护红线、自然保护地、水生生物重要栖息地水域实施航道整治工程；确需整治的，应当经科学论证，并依法办理相关手续</w:t>
                  </w:r>
                  <w:r>
                    <w:rPr>
                      <w:rFonts w:hint="eastAsia"/>
                    </w:rPr>
                    <w:t>。</w:t>
                  </w:r>
                </w:p>
              </w:tc>
              <w:tc>
                <w:tcPr>
                  <w:tcW w:w="1803" w:type="dxa"/>
                  <w:tcBorders>
                    <w:tl2br w:val="nil"/>
                    <w:tr2bl w:val="nil"/>
                  </w:tcBorders>
                  <w:vAlign w:val="center"/>
                </w:tcPr>
                <w:p w14:paraId="539C2687">
                  <w:pPr>
                    <w:pStyle w:val="38"/>
                  </w:pPr>
                  <w:r>
                    <w:rPr>
                      <w:rFonts w:hint="eastAsia"/>
                    </w:rPr>
                    <w:t>本项目工程</w:t>
                  </w:r>
                  <w:r>
                    <w:rPr>
                      <w:rFonts w:hint="eastAsia"/>
                      <w:lang w:eastAsia="zh-CN"/>
                    </w:rPr>
                    <w:t>不</w:t>
                  </w:r>
                  <w:r>
                    <w:t>属于航道整治工程</w:t>
                  </w:r>
                </w:p>
              </w:tc>
              <w:tc>
                <w:tcPr>
                  <w:tcW w:w="349" w:type="dxa"/>
                  <w:tcBorders>
                    <w:tl2br w:val="nil"/>
                    <w:tr2bl w:val="nil"/>
                  </w:tcBorders>
                  <w:vAlign w:val="center"/>
                </w:tcPr>
                <w:p w14:paraId="30E58849">
                  <w:pPr>
                    <w:pStyle w:val="38"/>
                  </w:pPr>
                  <w:r>
                    <w:rPr>
                      <w:rFonts w:hint="eastAsia"/>
                    </w:rPr>
                    <w:t>符合</w:t>
                  </w:r>
                </w:p>
              </w:tc>
            </w:tr>
            <w:tr w14:paraId="28DB3A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83" w:hRule="atLeast"/>
              </w:trPr>
              <w:tc>
                <w:tcPr>
                  <w:tcW w:w="5372" w:type="dxa"/>
                  <w:tcBorders>
                    <w:tl2br w:val="nil"/>
                    <w:tr2bl w:val="nil"/>
                  </w:tcBorders>
                  <w:vAlign w:val="center"/>
                </w:tcPr>
                <w:p w14:paraId="7EFA4AC6">
                  <w:pPr>
                    <w:pStyle w:val="38"/>
                  </w:pPr>
                  <w:r>
                    <w:t>禁止在长江流域河湖管理范围内倾倒、填埋、堆放、弃置、处理固体废物。长江流域县级以上地方人民政府应当加强对固体废物非法转移和倾倒的联防联控</w:t>
                  </w:r>
                  <w:r>
                    <w:rPr>
                      <w:rFonts w:hint="eastAsia"/>
                    </w:rPr>
                    <w:t>。</w:t>
                  </w:r>
                </w:p>
              </w:tc>
              <w:tc>
                <w:tcPr>
                  <w:tcW w:w="1803" w:type="dxa"/>
                  <w:tcBorders>
                    <w:tl2br w:val="nil"/>
                    <w:tr2bl w:val="nil"/>
                  </w:tcBorders>
                  <w:vAlign w:val="center"/>
                </w:tcPr>
                <w:p w14:paraId="41A27D35">
                  <w:pPr>
                    <w:pStyle w:val="38"/>
                  </w:pPr>
                  <w:r>
                    <w:t>本项目</w:t>
                  </w:r>
                  <w:r>
                    <w:rPr>
                      <w:rFonts w:hint="eastAsia"/>
                    </w:rPr>
                    <w:t>工程</w:t>
                  </w:r>
                  <w:r>
                    <w:t>固废均可妥善处置，不随意倾倒、填埋、弃置</w:t>
                  </w:r>
                </w:p>
              </w:tc>
              <w:tc>
                <w:tcPr>
                  <w:tcW w:w="349" w:type="dxa"/>
                  <w:tcBorders>
                    <w:tl2br w:val="nil"/>
                    <w:tr2bl w:val="nil"/>
                  </w:tcBorders>
                  <w:vAlign w:val="center"/>
                </w:tcPr>
                <w:p w14:paraId="79C0E877">
                  <w:pPr>
                    <w:pStyle w:val="38"/>
                  </w:pPr>
                  <w:r>
                    <w:rPr>
                      <w:rFonts w:hint="eastAsia"/>
                    </w:rPr>
                    <w:t>符合</w:t>
                  </w:r>
                </w:p>
              </w:tc>
            </w:tr>
            <w:tr w14:paraId="1C347C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83" w:hRule="atLeast"/>
              </w:trPr>
              <w:tc>
                <w:tcPr>
                  <w:tcW w:w="5372" w:type="dxa"/>
                  <w:tcBorders>
                    <w:tl2br w:val="nil"/>
                    <w:tr2bl w:val="nil"/>
                  </w:tcBorders>
                  <w:vAlign w:val="center"/>
                </w:tcPr>
                <w:p w14:paraId="2F798C02">
                  <w:pPr>
                    <w:pStyle w:val="38"/>
                  </w:pPr>
                  <w:r>
                    <w:t>禁止在长江流域水上运输剧毒化学品和国家规定禁止通过内河运输的其他危险化学品。长江流域县级以上地方人民政府交通运输主管部门会同本级人民政府有关部门加强对长江流域危险化学品运输的管控</w:t>
                  </w:r>
                  <w:r>
                    <w:rPr>
                      <w:rFonts w:hint="eastAsia"/>
                    </w:rPr>
                    <w:t>。</w:t>
                  </w:r>
                </w:p>
              </w:tc>
              <w:tc>
                <w:tcPr>
                  <w:tcW w:w="1803" w:type="dxa"/>
                  <w:tcBorders>
                    <w:tl2br w:val="nil"/>
                    <w:tr2bl w:val="nil"/>
                  </w:tcBorders>
                  <w:vAlign w:val="center"/>
                </w:tcPr>
                <w:p w14:paraId="6470C3D5">
                  <w:pPr>
                    <w:pStyle w:val="38"/>
                  </w:pPr>
                  <w:r>
                    <w:rPr>
                      <w:rFonts w:hint="eastAsia"/>
                    </w:rPr>
                    <w:t>不涉及</w:t>
                  </w:r>
                </w:p>
              </w:tc>
              <w:tc>
                <w:tcPr>
                  <w:tcW w:w="349" w:type="dxa"/>
                  <w:tcBorders>
                    <w:tl2br w:val="nil"/>
                    <w:tr2bl w:val="nil"/>
                  </w:tcBorders>
                  <w:vAlign w:val="center"/>
                </w:tcPr>
                <w:p w14:paraId="77C78F5F">
                  <w:pPr>
                    <w:pStyle w:val="38"/>
                  </w:pPr>
                  <w:r>
                    <w:rPr>
                      <w:rFonts w:hint="eastAsia"/>
                    </w:rPr>
                    <w:t>符合</w:t>
                  </w:r>
                </w:p>
              </w:tc>
            </w:tr>
            <w:tr w14:paraId="6DB986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83" w:hRule="atLeast"/>
              </w:trPr>
              <w:tc>
                <w:tcPr>
                  <w:tcW w:w="5372" w:type="dxa"/>
                  <w:tcBorders>
                    <w:tl2br w:val="nil"/>
                    <w:tr2bl w:val="nil"/>
                  </w:tcBorders>
                  <w:vAlign w:val="center"/>
                </w:tcPr>
                <w:p w14:paraId="494269D4">
                  <w:pPr>
                    <w:pStyle w:val="38"/>
                  </w:pPr>
                  <w:r>
                    <w:t>禁止在长江流域水土流失严重、生态脆弱的区域开展可能造成水土流失的生产建设活动。确因国家发展战略和国计民生需要建设的，应当经科学论证，并依法办理审批手续。</w:t>
                  </w:r>
                </w:p>
              </w:tc>
              <w:tc>
                <w:tcPr>
                  <w:tcW w:w="1803" w:type="dxa"/>
                  <w:tcBorders>
                    <w:tl2br w:val="nil"/>
                    <w:tr2bl w:val="nil"/>
                  </w:tcBorders>
                  <w:vAlign w:val="center"/>
                </w:tcPr>
                <w:p w14:paraId="51BF05FA">
                  <w:pPr>
                    <w:pStyle w:val="38"/>
                  </w:pPr>
                  <w:r>
                    <w:rPr>
                      <w:rFonts w:hint="eastAsia"/>
                    </w:rPr>
                    <w:t>不涉及</w:t>
                  </w:r>
                </w:p>
              </w:tc>
              <w:tc>
                <w:tcPr>
                  <w:tcW w:w="349" w:type="dxa"/>
                  <w:tcBorders>
                    <w:tl2br w:val="nil"/>
                    <w:tr2bl w:val="nil"/>
                  </w:tcBorders>
                  <w:vAlign w:val="center"/>
                </w:tcPr>
                <w:p w14:paraId="097BACE2">
                  <w:pPr>
                    <w:pStyle w:val="38"/>
                  </w:pPr>
                  <w:r>
                    <w:rPr>
                      <w:rFonts w:hint="eastAsia"/>
                    </w:rPr>
                    <w:t>符合</w:t>
                  </w:r>
                </w:p>
              </w:tc>
            </w:tr>
            <w:tr w14:paraId="7F43CB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83" w:hRule="atLeast"/>
              </w:trPr>
              <w:tc>
                <w:tcPr>
                  <w:tcW w:w="5372" w:type="dxa"/>
                  <w:tcBorders>
                    <w:tl2br w:val="nil"/>
                    <w:tr2bl w:val="nil"/>
                  </w:tcBorders>
                  <w:vAlign w:val="center"/>
                </w:tcPr>
                <w:p w14:paraId="43DEF1EB">
                  <w:pPr>
                    <w:pStyle w:val="38"/>
                  </w:pPr>
                  <w:r>
                    <w:t>江流域县级以上地方人民政府应当推动钢铁、石油、化工、有色金属、建材、船舶等产业升级改造，提升技术装备水平；推动造纸、制革、电镀、印染、有色金属、农药、氮肥、焦化、原料药制造等企业实施清洁化改造。企业应当通过技术创新减少资源消耗和污染物排放</w:t>
                  </w:r>
                  <w:r>
                    <w:rPr>
                      <w:rFonts w:hint="eastAsia"/>
                    </w:rPr>
                    <w:t>。</w:t>
                  </w:r>
                </w:p>
              </w:tc>
              <w:tc>
                <w:tcPr>
                  <w:tcW w:w="1803" w:type="dxa"/>
                  <w:tcBorders>
                    <w:tl2br w:val="nil"/>
                    <w:tr2bl w:val="nil"/>
                  </w:tcBorders>
                  <w:vAlign w:val="center"/>
                </w:tcPr>
                <w:p w14:paraId="267331A5">
                  <w:pPr>
                    <w:pStyle w:val="38"/>
                  </w:pPr>
                  <w:r>
                    <w:rPr>
                      <w:rFonts w:hint="eastAsia"/>
                    </w:rPr>
                    <w:t>不涉及</w:t>
                  </w:r>
                </w:p>
              </w:tc>
              <w:tc>
                <w:tcPr>
                  <w:tcW w:w="349" w:type="dxa"/>
                  <w:tcBorders>
                    <w:tl2br w:val="nil"/>
                    <w:tr2bl w:val="nil"/>
                  </w:tcBorders>
                  <w:vAlign w:val="center"/>
                </w:tcPr>
                <w:p w14:paraId="237461F6">
                  <w:pPr>
                    <w:pStyle w:val="38"/>
                  </w:pPr>
                  <w:r>
                    <w:rPr>
                      <w:rFonts w:hint="eastAsia"/>
                    </w:rPr>
                    <w:t>符合</w:t>
                  </w:r>
                </w:p>
              </w:tc>
            </w:tr>
            <w:tr w14:paraId="15CACD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83" w:hRule="atLeast"/>
              </w:trPr>
              <w:tc>
                <w:tcPr>
                  <w:tcW w:w="5372" w:type="dxa"/>
                  <w:tcBorders>
                    <w:tl2br w:val="nil"/>
                    <w:tr2bl w:val="nil"/>
                  </w:tcBorders>
                  <w:vAlign w:val="center"/>
                </w:tcPr>
                <w:p w14:paraId="20135D94">
                  <w:pPr>
                    <w:pStyle w:val="38"/>
                  </w:pPr>
                  <w:r>
                    <w:t>国务院生态环境主管部门根据水环境质量改善目标和水污染防治要求，确定长江流域各省级行政区域重点污染物排放总量控制指标。长江流域水质超标的水功能区，应当实施更严格的污染物排放总量削减要求。企业事业单位应当按照要求，采取污染物排放总量控制措施。</w:t>
                  </w:r>
                </w:p>
              </w:tc>
              <w:tc>
                <w:tcPr>
                  <w:tcW w:w="1803" w:type="dxa"/>
                  <w:tcBorders>
                    <w:tl2br w:val="nil"/>
                    <w:tr2bl w:val="nil"/>
                  </w:tcBorders>
                  <w:vAlign w:val="center"/>
                </w:tcPr>
                <w:p w14:paraId="64001120">
                  <w:pPr>
                    <w:pStyle w:val="38"/>
                  </w:pPr>
                  <w:r>
                    <w:rPr>
                      <w:rFonts w:hint="eastAsia"/>
                    </w:rPr>
                    <w:t>本项目工程所在流域水环境质量状况良好，同时项目将按照要求申请总量控制指标</w:t>
                  </w:r>
                </w:p>
              </w:tc>
              <w:tc>
                <w:tcPr>
                  <w:tcW w:w="349" w:type="dxa"/>
                  <w:tcBorders>
                    <w:tl2br w:val="nil"/>
                    <w:tr2bl w:val="nil"/>
                  </w:tcBorders>
                  <w:vAlign w:val="center"/>
                </w:tcPr>
                <w:p w14:paraId="6757E7CE">
                  <w:pPr>
                    <w:pStyle w:val="38"/>
                  </w:pPr>
                  <w:r>
                    <w:rPr>
                      <w:rFonts w:hint="eastAsia"/>
                    </w:rPr>
                    <w:t>符合</w:t>
                  </w:r>
                </w:p>
              </w:tc>
            </w:tr>
          </w:tbl>
          <w:p w14:paraId="345B0030">
            <w:pPr>
              <w:pStyle w:val="36"/>
              <w:ind w:firstLine="480"/>
              <w:rPr>
                <w:rFonts w:hint="default"/>
              </w:rPr>
            </w:pPr>
            <w:r>
              <w:t>经上述对照分析，本项目与《江西省长江经济带发展负面清单实施细则（试行，2022年版）的通知）》（赣长江办〔2022〕7号）《中华人民共和国长江保护法》相符。</w:t>
            </w:r>
          </w:p>
          <w:p w14:paraId="65D69268">
            <w:pPr>
              <w:pStyle w:val="115"/>
            </w:pPr>
          </w:p>
          <w:p w14:paraId="1CD50CE8">
            <w:pPr>
              <w:pStyle w:val="115"/>
            </w:pPr>
          </w:p>
          <w:p w14:paraId="28826E0B">
            <w:pPr>
              <w:pStyle w:val="115"/>
            </w:pPr>
          </w:p>
          <w:p w14:paraId="3C629BCA">
            <w:pPr>
              <w:pStyle w:val="115"/>
            </w:pPr>
          </w:p>
          <w:p w14:paraId="71212C81">
            <w:pPr>
              <w:pStyle w:val="115"/>
            </w:pPr>
          </w:p>
          <w:p w14:paraId="79E95C8D">
            <w:pPr>
              <w:pStyle w:val="115"/>
            </w:pPr>
          </w:p>
          <w:p w14:paraId="6F7D6B51">
            <w:pPr>
              <w:pStyle w:val="115"/>
            </w:pPr>
          </w:p>
          <w:p w14:paraId="435E0066">
            <w:pPr>
              <w:pStyle w:val="115"/>
            </w:pPr>
          </w:p>
          <w:p w14:paraId="08567512">
            <w:pPr>
              <w:pStyle w:val="115"/>
              <w:ind w:left="0" w:leftChars="0" w:firstLine="0" w:firstLineChars="0"/>
            </w:pPr>
          </w:p>
          <w:p w14:paraId="4613BC65">
            <w:pPr>
              <w:pStyle w:val="115"/>
            </w:pPr>
          </w:p>
          <w:p w14:paraId="6912FC1C">
            <w:pPr>
              <w:pStyle w:val="115"/>
            </w:pPr>
          </w:p>
          <w:p w14:paraId="3FB702BD"/>
        </w:tc>
      </w:tr>
    </w:tbl>
    <w:p w14:paraId="1AB05E8B">
      <w:pPr>
        <w:spacing w:line="360" w:lineRule="auto"/>
        <w:rPr>
          <w:sz w:val="30"/>
        </w:rPr>
        <w:sectPr>
          <w:footerReference r:id="rId4" w:type="default"/>
          <w:pgSz w:w="11906" w:h="16838"/>
          <w:pgMar w:top="1134" w:right="1134" w:bottom="1134"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4CD63EA8">
      <w:pPr>
        <w:pStyle w:val="50"/>
        <w:outlineLvl w:val="0"/>
      </w:pPr>
      <w:bookmarkStart w:id="12" w:name="_Toc16992"/>
      <w:bookmarkStart w:id="13" w:name="_Toc9627"/>
      <w:bookmarkStart w:id="14" w:name="_Toc24607"/>
      <w:bookmarkStart w:id="15" w:name="_Toc10083"/>
      <w:bookmarkStart w:id="16" w:name="_Toc9461"/>
      <w:bookmarkStart w:id="17" w:name="_Toc12370"/>
      <w:r>
        <w:t>建设项目工程分析</w:t>
      </w:r>
      <w:bookmarkEnd w:id="12"/>
      <w:bookmarkEnd w:id="13"/>
      <w:bookmarkEnd w:id="14"/>
      <w:bookmarkEnd w:id="15"/>
      <w:bookmarkEnd w:id="16"/>
      <w:bookmarkEnd w:id="17"/>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8778"/>
      </w:tblGrid>
      <w:tr w14:paraId="61B51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414" w:type="pct"/>
            <w:vAlign w:val="center"/>
          </w:tcPr>
          <w:p w14:paraId="2D7C3953">
            <w:pPr>
              <w:pStyle w:val="24"/>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w:t>
            </w:r>
          </w:p>
          <w:p w14:paraId="763EEFAD">
            <w:pPr>
              <w:pStyle w:val="24"/>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内容</w:t>
            </w:r>
          </w:p>
        </w:tc>
        <w:tc>
          <w:tcPr>
            <w:tcW w:w="4585" w:type="pct"/>
            <w:vAlign w:val="center"/>
          </w:tcPr>
          <w:p w14:paraId="568E8435">
            <w:pPr>
              <w:pStyle w:val="42"/>
              <w:spacing w:before="120" w:beforeLines="50" w:line="336" w:lineRule="auto"/>
              <w:ind w:firstLine="482"/>
              <w:rPr>
                <w:b/>
                <w:bCs/>
              </w:rPr>
            </w:pPr>
            <w:r>
              <w:rPr>
                <w:rFonts w:hint="eastAsia"/>
                <w:b/>
                <w:bCs/>
              </w:rPr>
              <w:t>（一）</w:t>
            </w:r>
            <w:r>
              <w:rPr>
                <w:b/>
                <w:bCs/>
              </w:rPr>
              <w:t>项目概况</w:t>
            </w:r>
          </w:p>
          <w:p w14:paraId="15DAA4FC">
            <w:pPr>
              <w:pStyle w:val="36"/>
              <w:ind w:firstLine="482"/>
              <w:rPr>
                <w:rFonts w:hint="eastAsia" w:eastAsia="宋体"/>
                <w:lang w:eastAsia="zh-CN"/>
              </w:rPr>
            </w:pPr>
            <w:r>
              <w:rPr>
                <w:b/>
                <w:bCs/>
              </w:rPr>
              <w:t>项目名称：</w:t>
            </w:r>
            <w:r>
              <w:rPr>
                <w:rFonts w:hint="eastAsia"/>
                <w:lang w:eastAsia="zh-CN"/>
              </w:rPr>
              <w:t>宁都县青塘镇污水处理厂工程</w:t>
            </w:r>
          </w:p>
          <w:p w14:paraId="5BA6670A">
            <w:pPr>
              <w:pStyle w:val="36"/>
              <w:ind w:firstLine="482"/>
              <w:rPr>
                <w:rFonts w:hint="eastAsia" w:eastAsia="宋体"/>
                <w:lang w:eastAsia="zh-CN"/>
              </w:rPr>
            </w:pPr>
            <w:r>
              <w:rPr>
                <w:b/>
                <w:bCs/>
              </w:rPr>
              <w:t>建设单位：</w:t>
            </w:r>
            <w:r>
              <w:rPr>
                <w:rFonts w:hint="eastAsia"/>
                <w:lang w:eastAsia="zh-CN"/>
              </w:rPr>
              <w:t>宁都县青塘镇人民政府</w:t>
            </w:r>
          </w:p>
          <w:p w14:paraId="2C2B9292">
            <w:pPr>
              <w:pStyle w:val="36"/>
              <w:ind w:firstLine="482"/>
              <w:rPr>
                <w:rFonts w:hint="default"/>
              </w:rPr>
            </w:pPr>
            <w:r>
              <w:rPr>
                <w:b/>
                <w:bCs/>
              </w:rPr>
              <w:t>建设地点：</w:t>
            </w:r>
            <w:r>
              <w:rPr>
                <w:rStyle w:val="37"/>
                <w:rFonts w:hint="eastAsia"/>
              </w:rPr>
              <w:t>宁都县青塘镇青塘村</w:t>
            </w:r>
            <w:r>
              <w:rPr>
                <w:rStyle w:val="37"/>
                <w:rFonts w:hint="eastAsia"/>
                <w:lang w:eastAsia="zh-CN"/>
              </w:rPr>
              <w:t>松林寺</w:t>
            </w:r>
            <w:r>
              <w:rPr>
                <w:rStyle w:val="37"/>
                <w:rFonts w:hint="eastAsia"/>
              </w:rPr>
              <w:t>对面</w:t>
            </w:r>
          </w:p>
          <w:p w14:paraId="421C19A6">
            <w:pPr>
              <w:pStyle w:val="36"/>
              <w:ind w:firstLine="482"/>
              <w:rPr>
                <w:rFonts w:hint="default"/>
              </w:rPr>
            </w:pPr>
            <w:r>
              <w:rPr>
                <w:rFonts w:hint="default"/>
                <w:b/>
                <w:bCs/>
              </w:rPr>
              <w:t>建设内容及规模：</w:t>
            </w:r>
            <w:r>
              <w:rPr>
                <w:rStyle w:val="37"/>
                <w:rFonts w:hint="default"/>
              </w:rPr>
              <w:t>本项目新建污水处理厂规模为500m³/d，总用地面积为7亩，新建调节池256m³</w:t>
            </w:r>
            <w:r>
              <w:rPr>
                <w:rStyle w:val="37"/>
                <w:rFonts w:hint="eastAsia"/>
                <w:lang w:eastAsia="zh-CN"/>
              </w:rPr>
              <w:t>，</w:t>
            </w:r>
            <w:r>
              <w:rPr>
                <w:rStyle w:val="37"/>
                <w:rFonts w:hint="default"/>
              </w:rPr>
              <w:t>水解酸化池217.8m³</w:t>
            </w:r>
            <w:r>
              <w:rPr>
                <w:rStyle w:val="37"/>
                <w:rFonts w:hint="eastAsia"/>
                <w:lang w:eastAsia="zh-CN"/>
              </w:rPr>
              <w:t>，</w:t>
            </w:r>
            <w:r>
              <w:rPr>
                <w:rStyle w:val="37"/>
                <w:rFonts w:hint="default"/>
              </w:rPr>
              <w:t>好氧池128.7m³</w:t>
            </w:r>
            <w:r>
              <w:rPr>
                <w:rStyle w:val="37"/>
                <w:rFonts w:hint="eastAsia"/>
                <w:lang w:eastAsia="zh-CN"/>
              </w:rPr>
              <w:t>，</w:t>
            </w:r>
            <w:r>
              <w:rPr>
                <w:rStyle w:val="37"/>
                <w:rFonts w:hint="default"/>
              </w:rPr>
              <w:t>MBR膜池69.3m³</w:t>
            </w:r>
            <w:r>
              <w:rPr>
                <w:rStyle w:val="37"/>
                <w:rFonts w:hint="eastAsia"/>
                <w:lang w:eastAsia="zh-CN"/>
              </w:rPr>
              <w:t>，</w:t>
            </w:r>
            <w:r>
              <w:rPr>
                <w:rStyle w:val="37"/>
                <w:rFonts w:hint="default"/>
              </w:rPr>
              <w:t>清水池14.85m³</w:t>
            </w:r>
            <w:r>
              <w:rPr>
                <w:rStyle w:val="37"/>
                <w:rFonts w:hint="eastAsia"/>
                <w:lang w:eastAsia="zh-CN"/>
              </w:rPr>
              <w:t>，</w:t>
            </w:r>
            <w:r>
              <w:rPr>
                <w:rStyle w:val="37"/>
                <w:rFonts w:hint="default"/>
              </w:rPr>
              <w:t>污泥池14.85m³</w:t>
            </w:r>
            <w:r>
              <w:rPr>
                <w:rStyle w:val="37"/>
                <w:rFonts w:hint="eastAsia"/>
                <w:lang w:eastAsia="zh-CN"/>
              </w:rPr>
              <w:t>，</w:t>
            </w:r>
            <w:r>
              <w:rPr>
                <w:rStyle w:val="37"/>
                <w:rFonts w:hint="default"/>
              </w:rPr>
              <w:t>设备房18㎡及室外配套工程，并购置相关配套设备等</w:t>
            </w:r>
            <w:r>
              <w:rPr>
                <w:rStyle w:val="37"/>
              </w:rPr>
              <w:t>。</w:t>
            </w:r>
          </w:p>
          <w:p w14:paraId="26CC7FF0">
            <w:pPr>
              <w:pStyle w:val="36"/>
              <w:ind w:firstLine="482"/>
              <w:rPr>
                <w:rFonts w:hint="default"/>
                <w:highlight w:val="none"/>
              </w:rPr>
            </w:pPr>
            <w:r>
              <w:rPr>
                <w:rFonts w:hint="default"/>
                <w:b/>
                <w:bCs/>
                <w:highlight w:val="none"/>
              </w:rPr>
              <w:t>投资规模：</w:t>
            </w:r>
            <w:r>
              <w:rPr>
                <w:rStyle w:val="37"/>
                <w:rFonts w:hint="default"/>
              </w:rPr>
              <w:t>本项目总投资匡算为437.16万元，其中工程费用357.44万元，其他费用43.62万元，预备费36.10万元</w:t>
            </w:r>
            <w:r>
              <w:rPr>
                <w:rStyle w:val="37"/>
              </w:rPr>
              <w:t>。</w:t>
            </w:r>
          </w:p>
          <w:p w14:paraId="09B32933">
            <w:pPr>
              <w:pStyle w:val="42"/>
              <w:ind w:firstLine="482"/>
              <w:rPr>
                <w:b/>
                <w:bCs/>
              </w:rPr>
            </w:pPr>
            <w:r>
              <w:rPr>
                <w:rFonts w:hint="eastAsia"/>
                <w:b/>
                <w:bCs/>
              </w:rPr>
              <w:t>（二）</w:t>
            </w:r>
            <w:r>
              <w:rPr>
                <w:b/>
                <w:bCs/>
              </w:rPr>
              <w:t>项目服务范围、污水</w:t>
            </w:r>
            <w:r>
              <w:rPr>
                <w:rFonts w:hint="eastAsia"/>
                <w:b/>
                <w:bCs/>
              </w:rPr>
              <w:t>（污泥）量</w:t>
            </w:r>
            <w:r>
              <w:rPr>
                <w:b/>
                <w:bCs/>
              </w:rPr>
              <w:t>预测及处理规模确定</w:t>
            </w:r>
          </w:p>
          <w:p w14:paraId="58C8745D">
            <w:pPr>
              <w:pStyle w:val="36"/>
              <w:ind w:firstLine="480"/>
              <w:rPr>
                <w:rFonts w:hint="default"/>
              </w:rPr>
            </w:pPr>
            <w:r>
              <w:rPr>
                <w:b/>
                <w:bCs/>
              </w:rPr>
              <w:t>1、</w:t>
            </w:r>
            <w:r>
              <w:rPr>
                <w:rFonts w:hint="default"/>
              </w:rPr>
              <w:t>收集范围</w:t>
            </w:r>
            <w:r>
              <w:t>：</w:t>
            </w:r>
            <w:r>
              <w:rPr>
                <w:rFonts w:hint="eastAsia"/>
              </w:rPr>
              <w:t>宁都县青塘镇</w:t>
            </w:r>
            <w:r>
              <w:t>。</w:t>
            </w:r>
            <w:r>
              <w:rPr>
                <w:rFonts w:hint="eastAsia"/>
              </w:rPr>
              <w:t>根据《宁都县青塘镇城市总体规划》，服务范围内人口预测，本项目污水处理厂服务总人口为4500人，远期2030年总人口5000人。</w:t>
            </w:r>
          </w:p>
          <w:p w14:paraId="42BDA10C">
            <w:pPr>
              <w:pStyle w:val="36"/>
              <w:ind w:firstLine="480"/>
            </w:pPr>
            <w:r>
              <w:rPr>
                <w:rFonts w:hint="eastAsia"/>
                <w:lang w:val="en-US" w:eastAsia="zh-CN"/>
              </w:rPr>
              <w:t>2、</w:t>
            </w:r>
            <w:r>
              <w:rPr>
                <w:rFonts w:hint="default"/>
              </w:rPr>
              <w:t>污水量预测</w:t>
            </w:r>
            <w:r>
              <w:t>及工程规模确定：</w:t>
            </w:r>
          </w:p>
          <w:p w14:paraId="704B7E44">
            <w:pPr>
              <w:pStyle w:val="36"/>
              <w:ind w:firstLine="480"/>
              <w:rPr>
                <w:rFonts w:hint="default"/>
              </w:rPr>
            </w:pPr>
            <w:r>
              <w:rPr>
                <w:rFonts w:hint="default"/>
              </w:rPr>
              <w:t>生活污水量预测</w:t>
            </w:r>
          </w:p>
          <w:p w14:paraId="52BF3B55">
            <w:pPr>
              <w:pStyle w:val="36"/>
              <w:ind w:firstLine="480"/>
              <w:rPr>
                <w:rFonts w:hint="default"/>
              </w:rPr>
            </w:pPr>
            <w:r>
              <w:rPr>
                <w:rFonts w:hint="default"/>
              </w:rPr>
              <w:t>（1）人口综合法</w:t>
            </w:r>
          </w:p>
          <w:p w14:paraId="55A482A3">
            <w:pPr>
              <w:pStyle w:val="36"/>
              <w:ind w:firstLine="480"/>
              <w:rPr>
                <w:rFonts w:hint="default"/>
              </w:rPr>
            </w:pPr>
            <w:r>
              <w:rPr>
                <w:rFonts w:hint="default"/>
              </w:rPr>
              <w:t>根据《村镇供水工程技术规范》（SL310-2019），结合《江西省抚州市东临新区控制性详细规划》的实际及发展需要，取人均综合用水指标近期为120L/人·d，远期140L/人·d</w:t>
            </w:r>
            <w:r>
              <w:rPr>
                <w:rFonts w:hint="eastAsia"/>
                <w:lang w:eastAsia="zh-CN"/>
              </w:rPr>
              <w:t>，</w:t>
            </w:r>
            <w:r>
              <w:rPr>
                <w:rFonts w:hint="default"/>
              </w:rPr>
              <w:t>污水综合排放系数为0.8</w:t>
            </w:r>
            <w:r>
              <w:rPr>
                <w:rFonts w:hint="eastAsia"/>
                <w:lang w:eastAsia="zh-CN"/>
              </w:rPr>
              <w:t>，</w:t>
            </w:r>
            <w:r>
              <w:rPr>
                <w:rFonts w:hint="default"/>
              </w:rPr>
              <w:t>污水排放量预测结果见下表</w:t>
            </w:r>
          </w:p>
          <w:p w14:paraId="4448E273">
            <w:pPr>
              <w:pStyle w:val="52"/>
              <w:bidi w:val="0"/>
              <w:rPr>
                <w:rFonts w:hint="default"/>
              </w:rPr>
            </w:pPr>
            <w:r>
              <w:rPr>
                <w:rFonts w:hint="default"/>
              </w:rPr>
              <w:t>人口综合法污水排放量预测成果</w:t>
            </w:r>
          </w:p>
          <w:tbl>
            <w:tblPr>
              <w:tblStyle w:val="129"/>
              <w:tblW w:w="8548" w:type="dxa"/>
              <w:tblInd w:w="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815"/>
              <w:gridCol w:w="2359"/>
              <w:gridCol w:w="2374"/>
            </w:tblGrid>
            <w:tr w14:paraId="6888F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815" w:type="dxa"/>
                  <w:tcBorders>
                    <w:tl2br w:val="nil"/>
                    <w:tr2bl w:val="nil"/>
                  </w:tcBorders>
                  <w:vAlign w:val="center"/>
                </w:tcPr>
                <w:p w14:paraId="476C812C">
                  <w:pPr>
                    <w:pStyle w:val="38"/>
                    <w:bidi w:val="0"/>
                    <w:ind w:left="0" w:leftChars="0" w:right="0" w:rightChars="0" w:firstLine="0" w:firstLineChars="0"/>
                    <w:jc w:val="center"/>
                    <w:rPr>
                      <w:b/>
                      <w:bCs/>
                    </w:rPr>
                  </w:pPr>
                  <w:r>
                    <w:rPr>
                      <w:b/>
                      <w:bCs/>
                    </w:rPr>
                    <w:t>年限指标</w:t>
                  </w:r>
                </w:p>
              </w:tc>
              <w:tc>
                <w:tcPr>
                  <w:tcW w:w="2359" w:type="dxa"/>
                  <w:tcBorders>
                    <w:tl2br w:val="nil"/>
                    <w:tr2bl w:val="nil"/>
                  </w:tcBorders>
                  <w:vAlign w:val="center"/>
                </w:tcPr>
                <w:p w14:paraId="6F4ED35E">
                  <w:pPr>
                    <w:pStyle w:val="38"/>
                    <w:bidi w:val="0"/>
                    <w:ind w:left="0" w:leftChars="0" w:right="0" w:rightChars="0" w:firstLine="0" w:firstLineChars="0"/>
                    <w:jc w:val="center"/>
                    <w:rPr>
                      <w:b/>
                      <w:bCs/>
                    </w:rPr>
                  </w:pPr>
                  <w:r>
                    <w:rPr>
                      <w:b/>
                      <w:bCs/>
                    </w:rPr>
                    <w:t>近期202</w:t>
                  </w:r>
                  <w:r>
                    <w:rPr>
                      <w:rFonts w:hint="eastAsia"/>
                      <w:b/>
                      <w:bCs/>
                      <w:lang w:val="en-US" w:eastAsia="zh-CN"/>
                    </w:rPr>
                    <w:t>3</w:t>
                  </w:r>
                  <w:r>
                    <w:rPr>
                      <w:b/>
                      <w:bCs/>
                    </w:rPr>
                    <w:t>年</w:t>
                  </w:r>
                </w:p>
              </w:tc>
              <w:tc>
                <w:tcPr>
                  <w:tcW w:w="2374" w:type="dxa"/>
                  <w:tcBorders>
                    <w:tl2br w:val="nil"/>
                    <w:tr2bl w:val="nil"/>
                  </w:tcBorders>
                  <w:vAlign w:val="center"/>
                </w:tcPr>
                <w:p w14:paraId="50554A97">
                  <w:pPr>
                    <w:pStyle w:val="38"/>
                    <w:bidi w:val="0"/>
                    <w:ind w:left="0" w:leftChars="0" w:right="0" w:rightChars="0" w:firstLine="0" w:firstLineChars="0"/>
                    <w:jc w:val="center"/>
                    <w:rPr>
                      <w:b/>
                      <w:bCs/>
                    </w:rPr>
                  </w:pPr>
                  <w:r>
                    <w:rPr>
                      <w:b/>
                      <w:bCs/>
                    </w:rPr>
                    <w:t>远期2030年</w:t>
                  </w:r>
                </w:p>
              </w:tc>
            </w:tr>
            <w:tr w14:paraId="266F75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15" w:type="dxa"/>
                  <w:tcBorders>
                    <w:tl2br w:val="nil"/>
                    <w:tr2bl w:val="nil"/>
                  </w:tcBorders>
                  <w:vAlign w:val="center"/>
                </w:tcPr>
                <w:p w14:paraId="773D443C">
                  <w:pPr>
                    <w:pStyle w:val="38"/>
                    <w:bidi w:val="0"/>
                    <w:ind w:left="0" w:leftChars="0" w:right="0" w:rightChars="0" w:firstLine="0" w:firstLineChars="0"/>
                    <w:jc w:val="center"/>
                  </w:pPr>
                  <w:r>
                    <w:t>人口（万人）</w:t>
                  </w:r>
                </w:p>
              </w:tc>
              <w:tc>
                <w:tcPr>
                  <w:tcW w:w="2359" w:type="dxa"/>
                  <w:tcBorders>
                    <w:tl2br w:val="nil"/>
                    <w:tr2bl w:val="nil"/>
                  </w:tcBorders>
                  <w:vAlign w:val="center"/>
                </w:tcPr>
                <w:p w14:paraId="01484470">
                  <w:pPr>
                    <w:pStyle w:val="38"/>
                    <w:bidi w:val="0"/>
                    <w:ind w:left="0" w:leftChars="0" w:right="0" w:rightChars="0" w:firstLine="0" w:firstLineChars="0"/>
                    <w:jc w:val="center"/>
                  </w:pPr>
                  <w:r>
                    <w:t>0.4</w:t>
                  </w:r>
                </w:p>
              </w:tc>
              <w:tc>
                <w:tcPr>
                  <w:tcW w:w="2374" w:type="dxa"/>
                  <w:tcBorders>
                    <w:tl2br w:val="nil"/>
                    <w:tr2bl w:val="nil"/>
                  </w:tcBorders>
                  <w:vAlign w:val="center"/>
                </w:tcPr>
                <w:p w14:paraId="2AF971BD">
                  <w:pPr>
                    <w:pStyle w:val="38"/>
                    <w:bidi w:val="0"/>
                    <w:ind w:left="0" w:leftChars="0" w:right="0" w:rightChars="0" w:firstLine="0" w:firstLineChars="0"/>
                    <w:jc w:val="center"/>
                  </w:pPr>
                  <w:r>
                    <w:t>0.45</w:t>
                  </w:r>
                </w:p>
              </w:tc>
            </w:tr>
            <w:tr w14:paraId="07A3BE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15" w:type="dxa"/>
                  <w:tcBorders>
                    <w:tl2br w:val="nil"/>
                    <w:tr2bl w:val="nil"/>
                  </w:tcBorders>
                  <w:vAlign w:val="center"/>
                </w:tcPr>
                <w:p w14:paraId="05CFB8F4">
                  <w:pPr>
                    <w:pStyle w:val="38"/>
                    <w:bidi w:val="0"/>
                    <w:ind w:left="0" w:leftChars="0" w:right="0" w:rightChars="0" w:firstLine="0" w:firstLineChars="0"/>
                    <w:jc w:val="center"/>
                  </w:pPr>
                  <w:r>
                    <w:t>用水量指标（L/人·d）</w:t>
                  </w:r>
                </w:p>
              </w:tc>
              <w:tc>
                <w:tcPr>
                  <w:tcW w:w="2359" w:type="dxa"/>
                  <w:tcBorders>
                    <w:tl2br w:val="nil"/>
                    <w:tr2bl w:val="nil"/>
                  </w:tcBorders>
                  <w:vAlign w:val="center"/>
                </w:tcPr>
                <w:p w14:paraId="052BCECE">
                  <w:pPr>
                    <w:pStyle w:val="38"/>
                    <w:bidi w:val="0"/>
                    <w:ind w:left="0" w:leftChars="0" w:right="0" w:rightChars="0" w:firstLine="0" w:firstLineChars="0"/>
                    <w:jc w:val="center"/>
                  </w:pPr>
                  <w:r>
                    <w:t>120</w:t>
                  </w:r>
                </w:p>
              </w:tc>
              <w:tc>
                <w:tcPr>
                  <w:tcW w:w="2374" w:type="dxa"/>
                  <w:tcBorders>
                    <w:tl2br w:val="nil"/>
                    <w:tr2bl w:val="nil"/>
                  </w:tcBorders>
                  <w:vAlign w:val="center"/>
                </w:tcPr>
                <w:p w14:paraId="0B0F2987">
                  <w:pPr>
                    <w:pStyle w:val="38"/>
                    <w:bidi w:val="0"/>
                    <w:ind w:left="0" w:leftChars="0" w:right="0" w:rightChars="0" w:firstLine="0" w:firstLineChars="0"/>
                    <w:jc w:val="center"/>
                  </w:pPr>
                  <w:r>
                    <w:t>140</w:t>
                  </w:r>
                </w:p>
              </w:tc>
            </w:tr>
            <w:tr w14:paraId="4A1292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15" w:type="dxa"/>
                  <w:tcBorders>
                    <w:tl2br w:val="nil"/>
                    <w:tr2bl w:val="nil"/>
                  </w:tcBorders>
                  <w:vAlign w:val="center"/>
                </w:tcPr>
                <w:p w14:paraId="45C5EF16">
                  <w:pPr>
                    <w:pStyle w:val="38"/>
                    <w:bidi w:val="0"/>
                    <w:ind w:left="0" w:leftChars="0" w:right="0" w:rightChars="0" w:firstLine="0" w:firstLineChars="0"/>
                    <w:jc w:val="center"/>
                  </w:pPr>
                  <w:r>
                    <w:t>污水综合排放系数</w:t>
                  </w:r>
                </w:p>
              </w:tc>
              <w:tc>
                <w:tcPr>
                  <w:tcW w:w="2359" w:type="dxa"/>
                  <w:tcBorders>
                    <w:tl2br w:val="nil"/>
                    <w:tr2bl w:val="nil"/>
                  </w:tcBorders>
                  <w:vAlign w:val="center"/>
                </w:tcPr>
                <w:p w14:paraId="6537F6CD">
                  <w:pPr>
                    <w:pStyle w:val="38"/>
                    <w:bidi w:val="0"/>
                    <w:ind w:left="0" w:leftChars="0" w:right="0" w:rightChars="0" w:firstLine="0" w:firstLineChars="0"/>
                    <w:jc w:val="center"/>
                  </w:pPr>
                  <w:r>
                    <w:t>0.8</w:t>
                  </w:r>
                </w:p>
              </w:tc>
              <w:tc>
                <w:tcPr>
                  <w:tcW w:w="2374" w:type="dxa"/>
                  <w:tcBorders>
                    <w:tl2br w:val="nil"/>
                    <w:tr2bl w:val="nil"/>
                  </w:tcBorders>
                  <w:vAlign w:val="center"/>
                </w:tcPr>
                <w:p w14:paraId="1101BC0A">
                  <w:pPr>
                    <w:pStyle w:val="38"/>
                    <w:bidi w:val="0"/>
                    <w:ind w:left="0" w:leftChars="0" w:right="0" w:rightChars="0" w:firstLine="0" w:firstLineChars="0"/>
                    <w:jc w:val="center"/>
                  </w:pPr>
                  <w:r>
                    <w:t>0.8</w:t>
                  </w:r>
                </w:p>
              </w:tc>
            </w:tr>
            <w:tr w14:paraId="5E9358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15" w:type="dxa"/>
                  <w:tcBorders>
                    <w:tl2br w:val="nil"/>
                    <w:tr2bl w:val="nil"/>
                  </w:tcBorders>
                  <w:vAlign w:val="center"/>
                </w:tcPr>
                <w:p w14:paraId="26661D42">
                  <w:pPr>
                    <w:pStyle w:val="38"/>
                    <w:bidi w:val="0"/>
                    <w:ind w:left="0" w:leftChars="0" w:right="0" w:rightChars="0" w:firstLine="0" w:firstLineChars="0"/>
                    <w:jc w:val="center"/>
                    <w:rPr>
                      <w:lang w:val="en-US" w:eastAsia="en-US"/>
                    </w:rPr>
                  </w:pPr>
                  <w:r>
                    <w:t>污水量（m</w:t>
                  </w:r>
                  <w:r>
                    <w:rPr>
                      <w:vertAlign w:val="superscript"/>
                    </w:rPr>
                    <w:t>3</w:t>
                  </w:r>
                  <w:r>
                    <w:t>/d）</w:t>
                  </w:r>
                </w:p>
              </w:tc>
              <w:tc>
                <w:tcPr>
                  <w:tcW w:w="2359" w:type="dxa"/>
                  <w:tcBorders>
                    <w:tl2br w:val="nil"/>
                    <w:tr2bl w:val="nil"/>
                  </w:tcBorders>
                  <w:vAlign w:val="center"/>
                </w:tcPr>
                <w:p w14:paraId="59AE989E">
                  <w:pPr>
                    <w:pStyle w:val="38"/>
                    <w:bidi w:val="0"/>
                    <w:ind w:left="0" w:leftChars="0" w:right="0" w:rightChars="0" w:firstLine="0" w:firstLineChars="0"/>
                    <w:jc w:val="center"/>
                    <w:rPr>
                      <w:lang w:val="en-US" w:eastAsia="en-US"/>
                    </w:rPr>
                  </w:pPr>
                  <w:r>
                    <w:t>403.2</w:t>
                  </w:r>
                </w:p>
              </w:tc>
              <w:tc>
                <w:tcPr>
                  <w:tcW w:w="2374" w:type="dxa"/>
                  <w:tcBorders>
                    <w:tl2br w:val="nil"/>
                    <w:tr2bl w:val="nil"/>
                  </w:tcBorders>
                  <w:vAlign w:val="center"/>
                </w:tcPr>
                <w:p w14:paraId="2FBDED81">
                  <w:pPr>
                    <w:pStyle w:val="38"/>
                    <w:bidi w:val="0"/>
                    <w:ind w:left="0" w:leftChars="0" w:right="0" w:rightChars="0" w:firstLine="0" w:firstLineChars="0"/>
                    <w:jc w:val="center"/>
                    <w:rPr>
                      <w:lang w:val="en-US" w:eastAsia="en-US"/>
                    </w:rPr>
                  </w:pPr>
                  <w:r>
                    <w:t>504</w:t>
                  </w:r>
                </w:p>
              </w:tc>
            </w:tr>
          </w:tbl>
          <w:p w14:paraId="0C378E85">
            <w:pPr>
              <w:pStyle w:val="36"/>
              <w:bidi w:val="0"/>
              <w:rPr>
                <w:rFonts w:hint="default"/>
              </w:rPr>
            </w:pPr>
            <w:r>
              <w:rPr>
                <w:rFonts w:hint="default"/>
              </w:rPr>
              <w:t>本项目服务范围近期生活污水量为403.2</w:t>
            </w:r>
            <w:r>
              <w:t>m</w:t>
            </w:r>
            <w:r>
              <w:rPr>
                <w:vertAlign w:val="superscript"/>
              </w:rPr>
              <w:t>3</w:t>
            </w:r>
            <w:r>
              <w:rPr>
                <w:rFonts w:hint="default"/>
              </w:rPr>
              <w:t>/d，远期2035年生活污水量为504</w:t>
            </w:r>
            <w:r>
              <w:t>m</w:t>
            </w:r>
            <w:r>
              <w:rPr>
                <w:vertAlign w:val="superscript"/>
              </w:rPr>
              <w:t>3</w:t>
            </w:r>
            <w:r>
              <w:rPr>
                <w:rFonts w:hint="default"/>
              </w:rPr>
              <w:t>/d。本项目污水处理厂设计规模按500</w:t>
            </w:r>
            <w:r>
              <w:t>m</w:t>
            </w:r>
            <w:r>
              <w:rPr>
                <w:vertAlign w:val="superscript"/>
              </w:rPr>
              <w:t>3</w:t>
            </w:r>
            <w:r>
              <w:rPr>
                <w:rFonts w:hint="default"/>
              </w:rPr>
              <w:t>/d。</w:t>
            </w:r>
          </w:p>
          <w:p w14:paraId="4A129D7D">
            <w:pPr>
              <w:pStyle w:val="36"/>
              <w:bidi w:val="0"/>
              <w:rPr>
                <w:rFonts w:hint="default"/>
              </w:rPr>
            </w:pPr>
            <w:r>
              <w:rPr>
                <w:rFonts w:hint="default"/>
              </w:rPr>
              <w:t>项目所处理的污水为生活污水，污水中主要污染物为、BOD</w:t>
            </w:r>
            <w:r>
              <w:rPr>
                <w:rFonts w:hint="default"/>
                <w:vertAlign w:val="subscript"/>
              </w:rPr>
              <w:t>5</w:t>
            </w:r>
            <w:r>
              <w:rPr>
                <w:rFonts w:hint="default"/>
              </w:rPr>
              <w:t>、COD</w:t>
            </w:r>
            <w:r>
              <w:rPr>
                <w:rFonts w:hint="default"/>
                <w:vertAlign w:val="subscript"/>
              </w:rPr>
              <w:t>Cr</w:t>
            </w:r>
            <w:r>
              <w:rPr>
                <w:rFonts w:hint="default"/>
              </w:rPr>
              <w:t>、SS、氨氮、粪大肠菌群数等。</w:t>
            </w:r>
          </w:p>
          <w:p w14:paraId="01C25DF7">
            <w:pPr>
              <w:pStyle w:val="36"/>
              <w:ind w:firstLine="482"/>
              <w:rPr>
                <w:rFonts w:hint="default"/>
              </w:rPr>
            </w:pPr>
            <w:r>
              <w:rPr>
                <w:b/>
                <w:bCs/>
              </w:rPr>
              <w:t>（三）设计进出水质及污水处理程度要求</w:t>
            </w:r>
          </w:p>
          <w:p w14:paraId="33C2B409">
            <w:pPr>
              <w:pStyle w:val="36"/>
              <w:ind w:firstLine="482"/>
              <w:rPr>
                <w:rFonts w:hint="default"/>
                <w:b/>
                <w:bCs/>
              </w:rPr>
            </w:pPr>
            <w:r>
              <w:rPr>
                <w:b/>
                <w:bCs/>
              </w:rPr>
              <w:t>1、设计进水水质</w:t>
            </w:r>
          </w:p>
          <w:p w14:paraId="0960913E">
            <w:pPr>
              <w:pStyle w:val="36"/>
              <w:bidi w:val="0"/>
            </w:pPr>
            <w:r>
              <w:t>因未对实际污水水质相关指标进行现场检验，设计时废水原水水质参照工程经验数值，指标如下：</w:t>
            </w:r>
          </w:p>
          <w:p w14:paraId="244076FF">
            <w:pPr>
              <w:pStyle w:val="52"/>
              <w:bidi w:val="0"/>
            </w:pPr>
            <w:r>
              <w:t>原水水质情况一览表</w:t>
            </w:r>
          </w:p>
          <w:tbl>
            <w:tblPr>
              <w:tblStyle w:val="129"/>
              <w:tblW w:w="8534" w:type="dxa"/>
              <w:tblInd w:w="24"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64"/>
              <w:gridCol w:w="1084"/>
              <w:gridCol w:w="965"/>
              <w:gridCol w:w="893"/>
              <w:gridCol w:w="610"/>
              <w:gridCol w:w="738"/>
              <w:gridCol w:w="960"/>
              <w:gridCol w:w="960"/>
              <w:gridCol w:w="960"/>
            </w:tblGrid>
            <w:tr w14:paraId="2BC0D0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4" w:type="dxa"/>
                  <w:tcBorders>
                    <w:tl2br w:val="nil"/>
                    <w:tr2bl w:val="nil"/>
                  </w:tcBorders>
                  <w:vAlign w:val="center"/>
                </w:tcPr>
                <w:p w14:paraId="63B1696A">
                  <w:pPr>
                    <w:pStyle w:val="38"/>
                    <w:bidi w:val="0"/>
                    <w:ind w:left="0" w:leftChars="0" w:right="0" w:rightChars="0" w:firstLine="0" w:firstLineChars="0"/>
                    <w:jc w:val="center"/>
                    <w:rPr>
                      <w:b/>
                      <w:bCs/>
                    </w:rPr>
                  </w:pPr>
                  <w:r>
                    <w:rPr>
                      <w:b/>
                      <w:bCs/>
                    </w:rPr>
                    <w:t>污染项目</w:t>
                  </w:r>
                </w:p>
              </w:tc>
              <w:tc>
                <w:tcPr>
                  <w:tcW w:w="1084" w:type="dxa"/>
                  <w:tcBorders>
                    <w:tl2br w:val="nil"/>
                    <w:tr2bl w:val="nil"/>
                  </w:tcBorders>
                  <w:vAlign w:val="center"/>
                </w:tcPr>
                <w:p w14:paraId="7C9DD862">
                  <w:pPr>
                    <w:pStyle w:val="38"/>
                    <w:bidi w:val="0"/>
                    <w:ind w:left="0" w:leftChars="0" w:right="0" w:rightChars="0" w:firstLine="0" w:firstLineChars="0"/>
                    <w:jc w:val="center"/>
                    <w:rPr>
                      <w:b/>
                      <w:bCs/>
                    </w:rPr>
                  </w:pPr>
                  <w:r>
                    <w:rPr>
                      <w:b/>
                      <w:bCs/>
                    </w:rPr>
                    <w:t>废水量</w:t>
                  </w:r>
                </w:p>
              </w:tc>
              <w:tc>
                <w:tcPr>
                  <w:tcW w:w="965" w:type="dxa"/>
                  <w:tcBorders>
                    <w:tl2br w:val="nil"/>
                    <w:tr2bl w:val="nil"/>
                  </w:tcBorders>
                  <w:vAlign w:val="center"/>
                </w:tcPr>
                <w:p w14:paraId="39D05F5F">
                  <w:pPr>
                    <w:pStyle w:val="38"/>
                    <w:bidi w:val="0"/>
                    <w:ind w:left="0" w:leftChars="0" w:right="0" w:rightChars="0" w:firstLine="0" w:firstLineChars="0"/>
                    <w:jc w:val="center"/>
                    <w:rPr>
                      <w:b/>
                      <w:bCs/>
                    </w:rPr>
                  </w:pPr>
                  <w:r>
                    <w:rPr>
                      <w:rFonts w:hint="default"/>
                    </w:rPr>
                    <w:t>COD</w:t>
                  </w:r>
                  <w:r>
                    <w:rPr>
                      <w:rFonts w:hint="default"/>
                      <w:vertAlign w:val="subscript"/>
                    </w:rPr>
                    <w:t>Cr</w:t>
                  </w:r>
                </w:p>
              </w:tc>
              <w:tc>
                <w:tcPr>
                  <w:tcW w:w="893" w:type="dxa"/>
                  <w:tcBorders>
                    <w:tl2br w:val="nil"/>
                    <w:tr2bl w:val="nil"/>
                  </w:tcBorders>
                  <w:vAlign w:val="center"/>
                </w:tcPr>
                <w:p w14:paraId="07A27E84">
                  <w:pPr>
                    <w:pStyle w:val="38"/>
                    <w:bidi w:val="0"/>
                    <w:ind w:left="0" w:leftChars="0" w:right="0" w:rightChars="0" w:firstLine="0" w:firstLineChars="0"/>
                    <w:jc w:val="center"/>
                    <w:rPr>
                      <w:b/>
                      <w:bCs/>
                    </w:rPr>
                  </w:pPr>
                  <w:r>
                    <w:rPr>
                      <w:rFonts w:hint="default"/>
                    </w:rPr>
                    <w:t>BOD</w:t>
                  </w:r>
                  <w:r>
                    <w:rPr>
                      <w:rFonts w:hint="default"/>
                      <w:vertAlign w:val="subscript"/>
                    </w:rPr>
                    <w:t>5</w:t>
                  </w:r>
                </w:p>
              </w:tc>
              <w:tc>
                <w:tcPr>
                  <w:tcW w:w="610" w:type="dxa"/>
                  <w:tcBorders>
                    <w:tl2br w:val="nil"/>
                    <w:tr2bl w:val="nil"/>
                  </w:tcBorders>
                  <w:vAlign w:val="center"/>
                </w:tcPr>
                <w:p w14:paraId="44A78F6C">
                  <w:pPr>
                    <w:pStyle w:val="38"/>
                    <w:bidi w:val="0"/>
                    <w:ind w:left="0" w:leftChars="0" w:right="0" w:rightChars="0" w:firstLine="0" w:firstLineChars="0"/>
                    <w:jc w:val="center"/>
                    <w:rPr>
                      <w:b/>
                      <w:bCs/>
                    </w:rPr>
                  </w:pPr>
                  <w:r>
                    <w:rPr>
                      <w:b/>
                      <w:bCs/>
                    </w:rPr>
                    <w:t>SS</w:t>
                  </w:r>
                </w:p>
              </w:tc>
              <w:tc>
                <w:tcPr>
                  <w:tcW w:w="738" w:type="dxa"/>
                  <w:tcBorders>
                    <w:tl2br w:val="nil"/>
                    <w:tr2bl w:val="nil"/>
                  </w:tcBorders>
                  <w:vAlign w:val="center"/>
                </w:tcPr>
                <w:p w14:paraId="076C50D9">
                  <w:pPr>
                    <w:pStyle w:val="38"/>
                    <w:bidi w:val="0"/>
                    <w:ind w:left="0" w:leftChars="0" w:right="0" w:rightChars="0" w:firstLine="0" w:firstLineChars="0"/>
                    <w:jc w:val="center"/>
                    <w:rPr>
                      <w:b/>
                      <w:bCs/>
                    </w:rPr>
                  </w:pPr>
                  <w:r>
                    <w:rPr>
                      <w:b/>
                      <w:bCs/>
                    </w:rPr>
                    <w:t>氨氮</w:t>
                  </w:r>
                </w:p>
              </w:tc>
              <w:tc>
                <w:tcPr>
                  <w:tcW w:w="960" w:type="dxa"/>
                  <w:tcBorders>
                    <w:tl2br w:val="nil"/>
                    <w:tr2bl w:val="nil"/>
                  </w:tcBorders>
                  <w:vAlign w:val="center"/>
                </w:tcPr>
                <w:p w14:paraId="69367AC5">
                  <w:pPr>
                    <w:pStyle w:val="38"/>
                    <w:bidi w:val="0"/>
                    <w:ind w:left="0" w:leftChars="0" w:right="0" w:rightChars="0" w:firstLine="0" w:firstLineChars="0"/>
                    <w:jc w:val="center"/>
                    <w:rPr>
                      <w:rFonts w:hint="eastAsia" w:eastAsia="宋体"/>
                      <w:b/>
                      <w:bCs/>
                      <w:lang w:val="en-US" w:eastAsia="zh-CN"/>
                    </w:rPr>
                  </w:pPr>
                  <w:r>
                    <w:rPr>
                      <w:rFonts w:hint="eastAsia"/>
                      <w:b/>
                      <w:bCs/>
                      <w:lang w:val="en-US" w:eastAsia="zh-CN"/>
                    </w:rPr>
                    <w:t>总氮</w:t>
                  </w:r>
                </w:p>
              </w:tc>
              <w:tc>
                <w:tcPr>
                  <w:tcW w:w="960" w:type="dxa"/>
                  <w:tcBorders>
                    <w:tl2br w:val="nil"/>
                    <w:tr2bl w:val="nil"/>
                  </w:tcBorders>
                  <w:vAlign w:val="center"/>
                </w:tcPr>
                <w:p w14:paraId="786FD81B">
                  <w:pPr>
                    <w:pStyle w:val="38"/>
                    <w:bidi w:val="0"/>
                    <w:ind w:left="0" w:leftChars="0" w:right="0" w:rightChars="0" w:firstLine="0" w:firstLineChars="0"/>
                    <w:jc w:val="center"/>
                    <w:rPr>
                      <w:rFonts w:hint="eastAsia" w:eastAsia="宋体"/>
                      <w:b/>
                      <w:bCs/>
                      <w:lang w:val="en-US" w:eastAsia="zh-CN"/>
                    </w:rPr>
                  </w:pPr>
                  <w:r>
                    <w:rPr>
                      <w:rFonts w:hint="eastAsia"/>
                      <w:b/>
                      <w:bCs/>
                      <w:lang w:val="en-US" w:eastAsia="zh-CN"/>
                    </w:rPr>
                    <w:t>总磷</w:t>
                  </w:r>
                </w:p>
              </w:tc>
              <w:tc>
                <w:tcPr>
                  <w:tcW w:w="960" w:type="dxa"/>
                  <w:tcBorders>
                    <w:tl2br w:val="nil"/>
                    <w:tr2bl w:val="nil"/>
                  </w:tcBorders>
                  <w:vAlign w:val="center"/>
                </w:tcPr>
                <w:p w14:paraId="0B688269">
                  <w:pPr>
                    <w:pStyle w:val="38"/>
                    <w:bidi w:val="0"/>
                    <w:ind w:left="0" w:leftChars="0" w:right="0" w:rightChars="0" w:firstLine="0" w:firstLineChars="0"/>
                    <w:jc w:val="center"/>
                    <w:rPr>
                      <w:rFonts w:ascii="Times New Roman" w:hAnsi="Times New Roman" w:eastAsia="宋体" w:cs="Times New Roman"/>
                      <w:b/>
                      <w:bCs/>
                      <w:kern w:val="2"/>
                      <w:sz w:val="21"/>
                      <w:szCs w:val="21"/>
                      <w:lang w:val="en-US" w:eastAsia="zh-CN" w:bidi="ar-SA"/>
                    </w:rPr>
                  </w:pPr>
                  <w:r>
                    <w:rPr>
                      <w:b/>
                      <w:bCs/>
                    </w:rPr>
                    <w:t>PH</w:t>
                  </w:r>
                </w:p>
              </w:tc>
            </w:tr>
            <w:tr w14:paraId="74AC7B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4" w:type="dxa"/>
                  <w:tcBorders>
                    <w:tl2br w:val="nil"/>
                    <w:tr2bl w:val="nil"/>
                  </w:tcBorders>
                  <w:vAlign w:val="center"/>
                </w:tcPr>
                <w:p w14:paraId="68E0FA1F">
                  <w:pPr>
                    <w:pStyle w:val="38"/>
                    <w:bidi w:val="0"/>
                    <w:ind w:left="0" w:leftChars="0" w:right="0" w:rightChars="0" w:firstLine="0" w:firstLineChars="0"/>
                    <w:jc w:val="center"/>
                  </w:pPr>
                  <w:r>
                    <w:t>浓度mg/L</w:t>
                  </w:r>
                </w:p>
              </w:tc>
              <w:tc>
                <w:tcPr>
                  <w:tcW w:w="1084" w:type="dxa"/>
                  <w:tcBorders>
                    <w:tl2br w:val="nil"/>
                    <w:tr2bl w:val="nil"/>
                  </w:tcBorders>
                  <w:vAlign w:val="center"/>
                </w:tcPr>
                <w:p w14:paraId="3C802897">
                  <w:pPr>
                    <w:pStyle w:val="38"/>
                    <w:bidi w:val="0"/>
                    <w:ind w:left="0" w:leftChars="0" w:right="0" w:rightChars="0" w:firstLine="0" w:firstLineChars="0"/>
                    <w:jc w:val="center"/>
                  </w:pPr>
                  <w:r>
                    <w:t>500m³/d</w:t>
                  </w:r>
                </w:p>
              </w:tc>
              <w:tc>
                <w:tcPr>
                  <w:tcW w:w="965" w:type="dxa"/>
                  <w:tcBorders>
                    <w:tl2br w:val="nil"/>
                    <w:tr2bl w:val="nil"/>
                  </w:tcBorders>
                  <w:vAlign w:val="center"/>
                </w:tcPr>
                <w:p w14:paraId="729B581C">
                  <w:pPr>
                    <w:pStyle w:val="38"/>
                    <w:bidi w:val="0"/>
                    <w:ind w:left="0" w:leftChars="0" w:right="0" w:rightChars="0" w:firstLine="0" w:firstLineChars="0"/>
                    <w:jc w:val="center"/>
                  </w:pPr>
                  <w:r>
                    <w:t>300</w:t>
                  </w:r>
                </w:p>
              </w:tc>
              <w:tc>
                <w:tcPr>
                  <w:tcW w:w="893" w:type="dxa"/>
                  <w:tcBorders>
                    <w:tl2br w:val="nil"/>
                    <w:tr2bl w:val="nil"/>
                  </w:tcBorders>
                  <w:vAlign w:val="center"/>
                </w:tcPr>
                <w:p w14:paraId="062A4750">
                  <w:pPr>
                    <w:pStyle w:val="38"/>
                    <w:bidi w:val="0"/>
                    <w:ind w:left="0" w:leftChars="0" w:right="0" w:rightChars="0" w:firstLine="0" w:firstLineChars="0"/>
                    <w:jc w:val="center"/>
                  </w:pPr>
                  <w:r>
                    <w:t>250</w:t>
                  </w:r>
                </w:p>
              </w:tc>
              <w:tc>
                <w:tcPr>
                  <w:tcW w:w="610" w:type="dxa"/>
                  <w:tcBorders>
                    <w:tl2br w:val="nil"/>
                    <w:tr2bl w:val="nil"/>
                  </w:tcBorders>
                  <w:vAlign w:val="center"/>
                </w:tcPr>
                <w:p w14:paraId="1253C25D">
                  <w:pPr>
                    <w:pStyle w:val="38"/>
                    <w:bidi w:val="0"/>
                    <w:ind w:left="0" w:leftChars="0" w:right="0" w:rightChars="0" w:firstLine="0" w:firstLineChars="0"/>
                    <w:jc w:val="center"/>
                  </w:pPr>
                  <w:r>
                    <w:t>150</w:t>
                  </w:r>
                </w:p>
              </w:tc>
              <w:tc>
                <w:tcPr>
                  <w:tcW w:w="738" w:type="dxa"/>
                  <w:tcBorders>
                    <w:tl2br w:val="nil"/>
                    <w:tr2bl w:val="nil"/>
                  </w:tcBorders>
                  <w:vAlign w:val="center"/>
                </w:tcPr>
                <w:p w14:paraId="102E1E5F">
                  <w:pPr>
                    <w:pStyle w:val="38"/>
                    <w:bidi w:val="0"/>
                    <w:ind w:left="0" w:leftChars="0" w:right="0" w:rightChars="0" w:firstLine="0" w:firstLineChars="0"/>
                    <w:jc w:val="center"/>
                  </w:pPr>
                  <w:r>
                    <w:t>40</w:t>
                  </w:r>
                </w:p>
              </w:tc>
              <w:tc>
                <w:tcPr>
                  <w:tcW w:w="960" w:type="dxa"/>
                  <w:tcBorders>
                    <w:tl2br w:val="nil"/>
                    <w:tr2bl w:val="nil"/>
                  </w:tcBorders>
                  <w:vAlign w:val="center"/>
                </w:tcPr>
                <w:p w14:paraId="1382376E">
                  <w:pPr>
                    <w:pStyle w:val="38"/>
                    <w:bidi w:val="0"/>
                    <w:ind w:left="0" w:leftChars="0" w:right="0" w:rightChars="0" w:firstLine="0" w:firstLineChars="0"/>
                    <w:jc w:val="center"/>
                    <w:rPr>
                      <w:rFonts w:hint="default" w:eastAsia="宋体"/>
                      <w:lang w:val="en-US" w:eastAsia="zh-CN"/>
                    </w:rPr>
                  </w:pPr>
                  <w:r>
                    <w:rPr>
                      <w:rFonts w:hint="eastAsia"/>
                      <w:lang w:val="en-US" w:eastAsia="zh-CN"/>
                    </w:rPr>
                    <w:t>35</w:t>
                  </w:r>
                </w:p>
              </w:tc>
              <w:tc>
                <w:tcPr>
                  <w:tcW w:w="960" w:type="dxa"/>
                  <w:tcBorders>
                    <w:tl2br w:val="nil"/>
                    <w:tr2bl w:val="nil"/>
                  </w:tcBorders>
                  <w:vAlign w:val="center"/>
                </w:tcPr>
                <w:p w14:paraId="6926A216">
                  <w:pPr>
                    <w:pStyle w:val="38"/>
                    <w:bidi w:val="0"/>
                    <w:ind w:left="0" w:leftChars="0" w:right="0" w:rightChars="0" w:firstLine="0" w:firstLineChars="0"/>
                    <w:jc w:val="center"/>
                    <w:rPr>
                      <w:rFonts w:hint="default" w:eastAsia="宋体"/>
                      <w:lang w:val="en-US" w:eastAsia="zh-CN"/>
                    </w:rPr>
                  </w:pPr>
                  <w:r>
                    <w:rPr>
                      <w:rFonts w:hint="eastAsia"/>
                      <w:lang w:val="en-US" w:eastAsia="zh-CN"/>
                    </w:rPr>
                    <w:t>3</w:t>
                  </w:r>
                </w:p>
              </w:tc>
              <w:tc>
                <w:tcPr>
                  <w:tcW w:w="960" w:type="dxa"/>
                  <w:tcBorders>
                    <w:tl2br w:val="nil"/>
                    <w:tr2bl w:val="nil"/>
                  </w:tcBorders>
                  <w:vAlign w:val="center"/>
                </w:tcPr>
                <w:p w14:paraId="74C01CB7">
                  <w:pPr>
                    <w:pStyle w:val="38"/>
                    <w:bidi w:val="0"/>
                    <w:ind w:left="0" w:leftChars="0" w:right="0" w:rightChars="0" w:firstLine="0" w:firstLineChars="0"/>
                    <w:jc w:val="center"/>
                    <w:rPr>
                      <w:rFonts w:ascii="Times New Roman" w:hAnsi="Times New Roman" w:eastAsia="宋体" w:cs="Times New Roman"/>
                      <w:kern w:val="2"/>
                      <w:sz w:val="21"/>
                      <w:szCs w:val="21"/>
                      <w:lang w:val="en-US" w:eastAsia="zh-CN" w:bidi="ar-SA"/>
                    </w:rPr>
                  </w:pPr>
                  <w:r>
                    <w:t>6.5-9.5</w:t>
                  </w:r>
                </w:p>
              </w:tc>
            </w:tr>
          </w:tbl>
          <w:p w14:paraId="5CFA3B61">
            <w:pPr>
              <w:pStyle w:val="36"/>
              <w:ind w:firstLine="482"/>
              <w:rPr>
                <w:rFonts w:hint="default"/>
                <w:b/>
                <w:bCs/>
              </w:rPr>
            </w:pPr>
            <w:r>
              <w:rPr>
                <w:b/>
                <w:bCs/>
              </w:rPr>
              <w:t>2、设计出水水质</w:t>
            </w:r>
          </w:p>
          <w:p w14:paraId="0E831979">
            <w:pPr>
              <w:pStyle w:val="36"/>
              <w:ind w:firstLine="480"/>
              <w:rPr>
                <w:rFonts w:hint="default"/>
                <w:color w:val="000000" w:themeColor="text1"/>
                <w14:textFill>
                  <w14:solidFill>
                    <w14:schemeClr w14:val="tx1"/>
                  </w14:solidFill>
                </w14:textFill>
              </w:rPr>
            </w:pPr>
            <w:r>
              <w:rPr>
                <w:rFonts w:hint="eastAsia"/>
                <w:lang w:val="en-US" w:eastAsia="zh-CN"/>
              </w:rPr>
              <w:t>项目</w:t>
            </w:r>
            <w:r>
              <w:t>出水水质指标执行《城镇污水处理厂污染物排放标准》（GB18918-2002）一级A标准，尾水排入</w:t>
            </w:r>
            <w:r>
              <w:rPr>
                <w:rFonts w:hint="eastAsia"/>
                <w:lang w:eastAsia="zh-CN"/>
              </w:rPr>
              <w:t>青塘河</w:t>
            </w:r>
            <w:r>
              <w:rPr>
                <w:rFonts w:hint="default"/>
                <w:color w:val="000000" w:themeColor="text1"/>
                <w14:textFill>
                  <w14:solidFill>
                    <w14:schemeClr w14:val="tx1"/>
                  </w14:solidFill>
                </w14:textFill>
              </w:rPr>
              <w:t>。出水水质指标如下：</w:t>
            </w:r>
          </w:p>
          <w:p w14:paraId="6528AACC">
            <w:pPr>
              <w:pStyle w:val="52"/>
            </w:pPr>
            <w:r>
              <w:t>污水处理设施水污染物排放标准</w:t>
            </w:r>
            <w:r>
              <w:rPr>
                <w:rFonts w:hint="eastAsia"/>
              </w:rPr>
              <w:t>一览表</w:t>
            </w:r>
            <w:r>
              <w:t>（单位：mg/L，pH无量纲）</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775"/>
              <w:gridCol w:w="780"/>
              <w:gridCol w:w="781"/>
              <w:gridCol w:w="781"/>
              <w:gridCol w:w="781"/>
              <w:gridCol w:w="781"/>
              <w:gridCol w:w="781"/>
              <w:gridCol w:w="805"/>
              <w:gridCol w:w="1523"/>
            </w:tblGrid>
            <w:tr w14:paraId="048BD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10" w:type="pct"/>
                  <w:gridSpan w:val="9"/>
                  <w:vAlign w:val="center"/>
                </w:tcPr>
                <w:p w14:paraId="67C95FFE">
                  <w:pPr>
                    <w:adjustRightInd w:val="0"/>
                    <w:snapToGrid w:val="0"/>
                    <w:jc w:val="center"/>
                    <w:rPr>
                      <w:b/>
                      <w:bCs/>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宁都县青塘镇污水处理厂工程</w:t>
                  </w:r>
                </w:p>
              </w:tc>
              <w:tc>
                <w:tcPr>
                  <w:tcW w:w="889" w:type="pct"/>
                  <w:vAlign w:val="center"/>
                </w:tcPr>
                <w:p w14:paraId="209CEC52">
                  <w:pPr>
                    <w:adjustRightInd w:val="0"/>
                    <w:snapToGrid w:val="0"/>
                    <w:jc w:val="center"/>
                    <w:rPr>
                      <w:b/>
                      <w:bCs/>
                      <w:color w:val="000000" w:themeColor="text1"/>
                      <w14:textFill>
                        <w14:solidFill>
                          <w14:schemeClr w14:val="tx1"/>
                        </w14:solidFill>
                      </w14:textFill>
                    </w:rPr>
                  </w:pPr>
                  <w:r>
                    <w:rPr>
                      <w:b/>
                      <w:bCs/>
                    </w:rPr>
                    <w:t>标准类别</w:t>
                  </w:r>
                </w:p>
              </w:tc>
            </w:tr>
            <w:tr w14:paraId="22D86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51" w:type="pct"/>
                  <w:vAlign w:val="center"/>
                </w:tcPr>
                <w:p w14:paraId="1A3C2929">
                  <w:pPr>
                    <w:pStyle w:val="38"/>
                    <w:rPr>
                      <w:b/>
                      <w:bCs/>
                    </w:rPr>
                  </w:pPr>
                  <w:r>
                    <w:rPr>
                      <w:rFonts w:hint="eastAsia"/>
                      <w:b/>
                      <w:bCs/>
                    </w:rPr>
                    <w:t>项目</w:t>
                  </w:r>
                </w:p>
              </w:tc>
              <w:tc>
                <w:tcPr>
                  <w:tcW w:w="453" w:type="pct"/>
                  <w:vAlign w:val="center"/>
                </w:tcPr>
                <w:p w14:paraId="789A8647">
                  <w:pPr>
                    <w:pStyle w:val="38"/>
                    <w:rPr>
                      <w:b/>
                      <w:bCs/>
                    </w:rPr>
                  </w:pPr>
                  <w:r>
                    <w:rPr>
                      <w:rFonts w:hint="eastAsia"/>
                      <w:b/>
                      <w:bCs/>
                    </w:rPr>
                    <w:t>p</w:t>
                  </w:r>
                  <w:r>
                    <w:rPr>
                      <w:b/>
                      <w:bCs/>
                    </w:rPr>
                    <w:t>H</w:t>
                  </w:r>
                </w:p>
              </w:tc>
              <w:tc>
                <w:tcPr>
                  <w:tcW w:w="456" w:type="pct"/>
                  <w:vAlign w:val="center"/>
                </w:tcPr>
                <w:p w14:paraId="2CC99701">
                  <w:pPr>
                    <w:pStyle w:val="38"/>
                    <w:rPr>
                      <w:b/>
                      <w:bCs/>
                    </w:rPr>
                  </w:pPr>
                  <w:r>
                    <w:rPr>
                      <w:b/>
                      <w:bCs/>
                    </w:rPr>
                    <w:t>COD</w:t>
                  </w:r>
                </w:p>
              </w:tc>
              <w:tc>
                <w:tcPr>
                  <w:tcW w:w="456" w:type="pct"/>
                  <w:vAlign w:val="center"/>
                </w:tcPr>
                <w:p w14:paraId="1C2D4DDA">
                  <w:pPr>
                    <w:pStyle w:val="38"/>
                    <w:rPr>
                      <w:b/>
                      <w:bCs/>
                    </w:rPr>
                  </w:pPr>
                  <w:r>
                    <w:rPr>
                      <w:rFonts w:hint="default"/>
                    </w:rPr>
                    <w:t>BOD</w:t>
                  </w:r>
                  <w:r>
                    <w:rPr>
                      <w:rFonts w:hint="default"/>
                      <w:vertAlign w:val="subscript"/>
                    </w:rPr>
                    <w:t>5</w:t>
                  </w:r>
                </w:p>
              </w:tc>
              <w:tc>
                <w:tcPr>
                  <w:tcW w:w="456" w:type="pct"/>
                  <w:vAlign w:val="center"/>
                </w:tcPr>
                <w:p w14:paraId="002D605C">
                  <w:pPr>
                    <w:pStyle w:val="38"/>
                    <w:rPr>
                      <w:b/>
                      <w:bCs/>
                    </w:rPr>
                  </w:pPr>
                  <w:r>
                    <w:rPr>
                      <w:b/>
                      <w:bCs/>
                    </w:rPr>
                    <w:t>氨氮</w:t>
                  </w:r>
                </w:p>
              </w:tc>
              <w:tc>
                <w:tcPr>
                  <w:tcW w:w="456" w:type="pct"/>
                  <w:vAlign w:val="center"/>
                </w:tcPr>
                <w:p w14:paraId="34A2F8EF">
                  <w:pPr>
                    <w:pStyle w:val="38"/>
                    <w:rPr>
                      <w:b/>
                      <w:bCs/>
                    </w:rPr>
                  </w:pPr>
                  <w:r>
                    <w:rPr>
                      <w:b/>
                      <w:bCs/>
                    </w:rPr>
                    <w:t>SS</w:t>
                  </w:r>
                </w:p>
              </w:tc>
              <w:tc>
                <w:tcPr>
                  <w:tcW w:w="456" w:type="pct"/>
                  <w:vAlign w:val="center"/>
                </w:tcPr>
                <w:p w14:paraId="71FAC204">
                  <w:pPr>
                    <w:pStyle w:val="38"/>
                    <w:rPr>
                      <w:b/>
                      <w:bCs/>
                    </w:rPr>
                  </w:pPr>
                  <w:r>
                    <w:rPr>
                      <w:b/>
                      <w:bCs/>
                    </w:rPr>
                    <w:t>总氮</w:t>
                  </w:r>
                </w:p>
              </w:tc>
              <w:tc>
                <w:tcPr>
                  <w:tcW w:w="456" w:type="pct"/>
                  <w:vAlign w:val="center"/>
                </w:tcPr>
                <w:p w14:paraId="67134F16">
                  <w:pPr>
                    <w:pStyle w:val="38"/>
                    <w:rPr>
                      <w:b/>
                      <w:bCs/>
                    </w:rPr>
                  </w:pPr>
                  <w:r>
                    <w:rPr>
                      <w:rFonts w:hint="eastAsia"/>
                      <w:b/>
                      <w:bCs/>
                    </w:rPr>
                    <w:t>总磷</w:t>
                  </w:r>
                </w:p>
              </w:tc>
              <w:tc>
                <w:tcPr>
                  <w:tcW w:w="466" w:type="pct"/>
                  <w:vAlign w:val="center"/>
                </w:tcPr>
                <w:p w14:paraId="56E2BDFC">
                  <w:pPr>
                    <w:pStyle w:val="38"/>
                    <w:rPr>
                      <w:b/>
                      <w:bCs/>
                    </w:rPr>
                  </w:pPr>
                  <w:r>
                    <w:rPr>
                      <w:rFonts w:hint="eastAsia"/>
                      <w:b/>
                      <w:bCs/>
                    </w:rPr>
                    <w:t>粪大肠菌群</w:t>
                  </w:r>
                </w:p>
              </w:tc>
              <w:tc>
                <w:tcPr>
                  <w:tcW w:w="889" w:type="pct"/>
                  <w:vMerge w:val="restart"/>
                  <w:vAlign w:val="center"/>
                </w:tcPr>
                <w:p w14:paraId="570746EE">
                  <w:pPr>
                    <w:pStyle w:val="38"/>
                  </w:pPr>
                  <w:r>
                    <w:t>GB18918-2002一级A标准</w:t>
                  </w:r>
                </w:p>
              </w:tc>
            </w:tr>
            <w:tr w14:paraId="626A8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51" w:type="pct"/>
                  <w:vAlign w:val="center"/>
                </w:tcPr>
                <w:p w14:paraId="7B197D95">
                  <w:pPr>
                    <w:pStyle w:val="38"/>
                  </w:pPr>
                  <w:r>
                    <w:t>标准值</w:t>
                  </w:r>
                </w:p>
              </w:tc>
              <w:tc>
                <w:tcPr>
                  <w:tcW w:w="453" w:type="pct"/>
                  <w:vAlign w:val="center"/>
                </w:tcPr>
                <w:p w14:paraId="7405963A">
                  <w:pPr>
                    <w:pStyle w:val="38"/>
                  </w:pPr>
                  <w:r>
                    <w:t>6</w:t>
                  </w:r>
                  <w:r>
                    <w:rPr>
                      <w:rFonts w:hint="eastAsia"/>
                    </w:rPr>
                    <w:t>~</w:t>
                  </w:r>
                  <w:r>
                    <w:t>9</w:t>
                  </w:r>
                </w:p>
              </w:tc>
              <w:tc>
                <w:tcPr>
                  <w:tcW w:w="456" w:type="pct"/>
                  <w:vAlign w:val="center"/>
                </w:tcPr>
                <w:p w14:paraId="42C47F25">
                  <w:pPr>
                    <w:pStyle w:val="38"/>
                  </w:pPr>
                  <w:r>
                    <w:rPr>
                      <w:rFonts w:hint="eastAsia"/>
                    </w:rPr>
                    <w:t>50</w:t>
                  </w:r>
                </w:p>
              </w:tc>
              <w:tc>
                <w:tcPr>
                  <w:tcW w:w="456" w:type="pct"/>
                  <w:vAlign w:val="center"/>
                </w:tcPr>
                <w:p w14:paraId="61F2A7AA">
                  <w:pPr>
                    <w:pStyle w:val="38"/>
                  </w:pPr>
                  <w:r>
                    <w:t>1</w:t>
                  </w:r>
                  <w:r>
                    <w:rPr>
                      <w:rFonts w:hint="eastAsia"/>
                    </w:rPr>
                    <w:t>0</w:t>
                  </w:r>
                </w:p>
              </w:tc>
              <w:tc>
                <w:tcPr>
                  <w:tcW w:w="456" w:type="pct"/>
                  <w:vAlign w:val="center"/>
                </w:tcPr>
                <w:p w14:paraId="7026ADDD">
                  <w:pPr>
                    <w:pStyle w:val="38"/>
                  </w:pPr>
                  <w:r>
                    <w:rPr>
                      <w:rFonts w:hint="eastAsia"/>
                    </w:rPr>
                    <w:t>5</w:t>
                  </w:r>
                  <w:r>
                    <w:t>（</w:t>
                  </w:r>
                  <w:r>
                    <w:rPr>
                      <w:rFonts w:hint="eastAsia"/>
                    </w:rPr>
                    <w:t>8</w:t>
                  </w:r>
                  <w:r>
                    <w:t>）</w:t>
                  </w:r>
                </w:p>
              </w:tc>
              <w:tc>
                <w:tcPr>
                  <w:tcW w:w="456" w:type="pct"/>
                  <w:vAlign w:val="center"/>
                </w:tcPr>
                <w:p w14:paraId="77CAA0ED">
                  <w:pPr>
                    <w:pStyle w:val="38"/>
                  </w:pPr>
                  <w:r>
                    <w:t>1</w:t>
                  </w:r>
                  <w:r>
                    <w:rPr>
                      <w:rFonts w:hint="eastAsia"/>
                    </w:rPr>
                    <w:t>0</w:t>
                  </w:r>
                </w:p>
              </w:tc>
              <w:tc>
                <w:tcPr>
                  <w:tcW w:w="456" w:type="pct"/>
                  <w:vAlign w:val="center"/>
                </w:tcPr>
                <w:p w14:paraId="48AFCD2F">
                  <w:pPr>
                    <w:pStyle w:val="38"/>
                  </w:pPr>
                  <w:r>
                    <w:t>15</w:t>
                  </w:r>
                </w:p>
              </w:tc>
              <w:tc>
                <w:tcPr>
                  <w:tcW w:w="456" w:type="pct"/>
                  <w:vAlign w:val="center"/>
                </w:tcPr>
                <w:p w14:paraId="295B4264">
                  <w:pPr>
                    <w:pStyle w:val="38"/>
                  </w:pPr>
                  <w:r>
                    <w:rPr>
                      <w:rFonts w:hint="eastAsia"/>
                    </w:rPr>
                    <w:t>0.5</w:t>
                  </w:r>
                </w:p>
              </w:tc>
              <w:tc>
                <w:tcPr>
                  <w:tcW w:w="466" w:type="pct"/>
                  <w:vAlign w:val="center"/>
                </w:tcPr>
                <w:p w14:paraId="6DD40202">
                  <w:pPr>
                    <w:pStyle w:val="38"/>
                  </w:pPr>
                  <w:r>
                    <w:rPr>
                      <w:rFonts w:hint="eastAsia"/>
                    </w:rPr>
                    <w:t>1000个/L</w:t>
                  </w:r>
                </w:p>
              </w:tc>
              <w:tc>
                <w:tcPr>
                  <w:tcW w:w="889" w:type="pct"/>
                  <w:vMerge w:val="continue"/>
                  <w:vAlign w:val="center"/>
                </w:tcPr>
                <w:p w14:paraId="44272660">
                  <w:pPr>
                    <w:pStyle w:val="38"/>
                  </w:pPr>
                </w:p>
              </w:tc>
            </w:tr>
          </w:tbl>
          <w:p w14:paraId="67BCE31B">
            <w:pPr>
              <w:pStyle w:val="36"/>
              <w:ind w:firstLine="482"/>
              <w:rPr>
                <w:rFonts w:hint="default"/>
                <w:b/>
                <w:bCs/>
              </w:rPr>
            </w:pPr>
            <w:r>
              <w:rPr>
                <w:b/>
                <w:bCs/>
              </w:rPr>
              <w:t>3、污水处理程度</w:t>
            </w:r>
          </w:p>
          <w:p w14:paraId="4EACD427">
            <w:pPr>
              <w:pStyle w:val="36"/>
              <w:ind w:firstLine="480"/>
              <w:rPr>
                <w:rFonts w:hint="default"/>
              </w:rPr>
            </w:pPr>
            <w:r>
              <w:t>本项目各种污染物处理程度见下表：</w:t>
            </w:r>
          </w:p>
          <w:p w14:paraId="1EE03A94">
            <w:pPr>
              <w:pStyle w:val="52"/>
            </w:pPr>
            <w:r>
              <w:t>污水处理程度表</w:t>
            </w:r>
          </w:p>
          <w:tbl>
            <w:tblPr>
              <w:tblStyle w:val="129"/>
              <w:tblW w:w="8555" w:type="dxa"/>
              <w:tblInd w:w="4"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950"/>
              <w:gridCol w:w="1950"/>
              <w:gridCol w:w="1529"/>
              <w:gridCol w:w="1515"/>
              <w:gridCol w:w="1611"/>
            </w:tblGrid>
            <w:tr w14:paraId="6B88B7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50" w:type="dxa"/>
                  <w:tcBorders>
                    <w:tl2br w:val="nil"/>
                    <w:tr2bl w:val="nil"/>
                  </w:tcBorders>
                  <w:vAlign w:val="center"/>
                </w:tcPr>
                <w:p w14:paraId="5A7099FE">
                  <w:pPr>
                    <w:pStyle w:val="38"/>
                    <w:rPr>
                      <w:b/>
                      <w:bCs/>
                    </w:rPr>
                  </w:pPr>
                  <w:r>
                    <w:rPr>
                      <w:rFonts w:hint="eastAsia"/>
                      <w:b/>
                      <w:bCs/>
                    </w:rPr>
                    <w:t>工程名称</w:t>
                  </w:r>
                </w:p>
              </w:tc>
              <w:tc>
                <w:tcPr>
                  <w:tcW w:w="1950" w:type="dxa"/>
                  <w:tcBorders>
                    <w:tl2br w:val="nil"/>
                    <w:tr2bl w:val="nil"/>
                  </w:tcBorders>
                  <w:vAlign w:val="center"/>
                </w:tcPr>
                <w:p w14:paraId="4C8EBE27">
                  <w:pPr>
                    <w:pStyle w:val="38"/>
                    <w:rPr>
                      <w:b/>
                      <w:bCs/>
                    </w:rPr>
                  </w:pPr>
                  <w:r>
                    <w:rPr>
                      <w:b/>
                      <w:bCs/>
                    </w:rPr>
                    <w:t>水质指标</w:t>
                  </w:r>
                </w:p>
              </w:tc>
              <w:tc>
                <w:tcPr>
                  <w:tcW w:w="1529" w:type="dxa"/>
                  <w:tcBorders>
                    <w:tl2br w:val="nil"/>
                    <w:tr2bl w:val="nil"/>
                  </w:tcBorders>
                  <w:vAlign w:val="center"/>
                </w:tcPr>
                <w:p w14:paraId="2A8549D0">
                  <w:pPr>
                    <w:pStyle w:val="38"/>
                    <w:rPr>
                      <w:b/>
                      <w:bCs/>
                    </w:rPr>
                  </w:pPr>
                  <w:r>
                    <w:rPr>
                      <w:b/>
                      <w:bCs/>
                    </w:rPr>
                    <w:t>进水</w:t>
                  </w:r>
                  <w:r>
                    <w:rPr>
                      <w:rFonts w:hint="eastAsia"/>
                      <w:b/>
                      <w:bCs/>
                    </w:rPr>
                    <w:t>浓度</w:t>
                  </w:r>
                  <w:r>
                    <w:rPr>
                      <w:b/>
                      <w:bCs/>
                    </w:rPr>
                    <w:t>（mg/L）</w:t>
                  </w:r>
                </w:p>
              </w:tc>
              <w:tc>
                <w:tcPr>
                  <w:tcW w:w="1515" w:type="dxa"/>
                  <w:tcBorders>
                    <w:tl2br w:val="nil"/>
                    <w:tr2bl w:val="nil"/>
                  </w:tcBorders>
                  <w:vAlign w:val="center"/>
                </w:tcPr>
                <w:p w14:paraId="1A936160">
                  <w:pPr>
                    <w:pStyle w:val="38"/>
                    <w:rPr>
                      <w:b/>
                      <w:bCs/>
                    </w:rPr>
                  </w:pPr>
                  <w:r>
                    <w:rPr>
                      <w:b/>
                      <w:bCs/>
                    </w:rPr>
                    <w:t>出水</w:t>
                  </w:r>
                  <w:r>
                    <w:rPr>
                      <w:rFonts w:hint="eastAsia"/>
                      <w:b/>
                      <w:bCs/>
                    </w:rPr>
                    <w:t>浓度</w:t>
                  </w:r>
                  <w:r>
                    <w:rPr>
                      <w:b/>
                      <w:bCs/>
                    </w:rPr>
                    <w:t>（mg/L）</w:t>
                  </w:r>
                </w:p>
              </w:tc>
              <w:tc>
                <w:tcPr>
                  <w:tcW w:w="1611" w:type="dxa"/>
                  <w:tcBorders>
                    <w:tl2br w:val="nil"/>
                    <w:tr2bl w:val="nil"/>
                  </w:tcBorders>
                  <w:vAlign w:val="center"/>
                </w:tcPr>
                <w:p w14:paraId="6D5792E0">
                  <w:pPr>
                    <w:pStyle w:val="38"/>
                    <w:rPr>
                      <w:b/>
                      <w:bCs/>
                    </w:rPr>
                  </w:pPr>
                  <w:r>
                    <w:rPr>
                      <w:b/>
                      <w:bCs/>
                    </w:rPr>
                    <w:t>去除率</w:t>
                  </w:r>
                </w:p>
              </w:tc>
            </w:tr>
            <w:tr w14:paraId="2AFDF38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50" w:type="dxa"/>
                  <w:vMerge w:val="restart"/>
                  <w:tcBorders>
                    <w:tl2br w:val="nil"/>
                    <w:tr2bl w:val="nil"/>
                  </w:tcBorders>
                  <w:vAlign w:val="center"/>
                </w:tcPr>
                <w:p w14:paraId="71A346DB">
                  <w:pPr>
                    <w:pStyle w:val="38"/>
                    <w:rPr>
                      <w:rFonts w:hint="eastAsia" w:eastAsia="宋体"/>
                      <w:lang w:eastAsia="zh-CN"/>
                    </w:rPr>
                  </w:pPr>
                  <w:r>
                    <w:rPr>
                      <w:rFonts w:hint="eastAsia"/>
                      <w:lang w:eastAsia="zh-CN"/>
                    </w:rPr>
                    <w:t>宁都县青塘镇污水处理厂工程</w:t>
                  </w:r>
                </w:p>
              </w:tc>
              <w:tc>
                <w:tcPr>
                  <w:tcW w:w="1950" w:type="dxa"/>
                  <w:tcBorders>
                    <w:tl2br w:val="nil"/>
                    <w:tr2bl w:val="nil"/>
                  </w:tcBorders>
                  <w:vAlign w:val="center"/>
                </w:tcPr>
                <w:p w14:paraId="7666F7F7">
                  <w:pPr>
                    <w:pStyle w:val="38"/>
                  </w:pPr>
                  <w:r>
                    <w:rPr>
                      <w:rFonts w:hint="default"/>
                    </w:rPr>
                    <w:t>COD</w:t>
                  </w:r>
                  <w:r>
                    <w:rPr>
                      <w:rFonts w:hint="default"/>
                      <w:vertAlign w:val="subscript"/>
                    </w:rPr>
                    <w:t>Cr</w:t>
                  </w:r>
                </w:p>
              </w:tc>
              <w:tc>
                <w:tcPr>
                  <w:tcW w:w="1529" w:type="dxa"/>
                  <w:tcBorders>
                    <w:tl2br w:val="nil"/>
                    <w:tr2bl w:val="nil"/>
                  </w:tcBorders>
                  <w:vAlign w:val="center"/>
                </w:tcPr>
                <w:p w14:paraId="2CDC6EE3">
                  <w:pPr>
                    <w:pStyle w:val="38"/>
                    <w:bidi w:val="0"/>
                    <w:rPr>
                      <w:rFonts w:hint="default" w:eastAsia="宋体"/>
                      <w:lang w:val="en-US" w:eastAsia="zh-CN"/>
                    </w:rPr>
                  </w:pPr>
                  <w:r>
                    <w:rPr>
                      <w:rFonts w:hint="eastAsia"/>
                      <w:lang w:val="en-US" w:eastAsia="zh-CN"/>
                    </w:rPr>
                    <w:t>300</w:t>
                  </w:r>
                </w:p>
              </w:tc>
              <w:tc>
                <w:tcPr>
                  <w:tcW w:w="1515" w:type="dxa"/>
                  <w:tcBorders>
                    <w:tl2br w:val="nil"/>
                    <w:tr2bl w:val="nil"/>
                  </w:tcBorders>
                  <w:vAlign w:val="center"/>
                </w:tcPr>
                <w:p w14:paraId="2DFD7E18">
                  <w:pPr>
                    <w:pStyle w:val="38"/>
                    <w:bidi w:val="0"/>
                  </w:pPr>
                  <w:r>
                    <w:t>50</w:t>
                  </w:r>
                </w:p>
              </w:tc>
              <w:tc>
                <w:tcPr>
                  <w:tcW w:w="1611" w:type="dxa"/>
                  <w:tcBorders>
                    <w:tl2br w:val="nil"/>
                    <w:tr2bl w:val="nil"/>
                  </w:tcBorders>
                  <w:vAlign w:val="bottom"/>
                </w:tcPr>
                <w:p w14:paraId="2C7165FC">
                  <w:pPr>
                    <w:pStyle w:val="38"/>
                    <w:bidi w:val="0"/>
                  </w:pPr>
                  <w:r>
                    <w:rPr>
                      <w:rFonts w:hint="default"/>
                      <w:lang w:val="en-US" w:eastAsia="zh-CN"/>
                    </w:rPr>
                    <w:t>83.33%</w:t>
                  </w:r>
                </w:p>
              </w:tc>
            </w:tr>
            <w:tr w14:paraId="184C3D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50" w:type="dxa"/>
                  <w:vMerge w:val="continue"/>
                  <w:tcBorders>
                    <w:tl2br w:val="nil"/>
                    <w:tr2bl w:val="nil"/>
                  </w:tcBorders>
                  <w:vAlign w:val="center"/>
                </w:tcPr>
                <w:p w14:paraId="49508F8B">
                  <w:pPr>
                    <w:pStyle w:val="38"/>
                  </w:pPr>
                </w:p>
              </w:tc>
              <w:tc>
                <w:tcPr>
                  <w:tcW w:w="1950" w:type="dxa"/>
                  <w:tcBorders>
                    <w:tl2br w:val="nil"/>
                    <w:tr2bl w:val="nil"/>
                  </w:tcBorders>
                  <w:vAlign w:val="center"/>
                </w:tcPr>
                <w:p w14:paraId="19A1AA16">
                  <w:pPr>
                    <w:pStyle w:val="38"/>
                  </w:pPr>
                  <w:r>
                    <w:rPr>
                      <w:rFonts w:hint="default"/>
                    </w:rPr>
                    <w:t>BOD</w:t>
                  </w:r>
                  <w:r>
                    <w:rPr>
                      <w:rFonts w:hint="default"/>
                      <w:vertAlign w:val="subscript"/>
                    </w:rPr>
                    <w:t>5</w:t>
                  </w:r>
                </w:p>
              </w:tc>
              <w:tc>
                <w:tcPr>
                  <w:tcW w:w="1529" w:type="dxa"/>
                  <w:tcBorders>
                    <w:tl2br w:val="nil"/>
                    <w:tr2bl w:val="nil"/>
                  </w:tcBorders>
                  <w:vAlign w:val="center"/>
                </w:tcPr>
                <w:p w14:paraId="0B03C41C">
                  <w:pPr>
                    <w:pStyle w:val="38"/>
                    <w:bidi w:val="0"/>
                    <w:rPr>
                      <w:rFonts w:hint="default" w:eastAsia="宋体"/>
                      <w:lang w:val="en-US" w:eastAsia="zh-CN"/>
                    </w:rPr>
                  </w:pPr>
                  <w:r>
                    <w:rPr>
                      <w:rFonts w:hint="eastAsia"/>
                      <w:lang w:val="en-US" w:eastAsia="zh-CN"/>
                    </w:rPr>
                    <w:t>250</w:t>
                  </w:r>
                </w:p>
              </w:tc>
              <w:tc>
                <w:tcPr>
                  <w:tcW w:w="1515" w:type="dxa"/>
                  <w:tcBorders>
                    <w:tl2br w:val="nil"/>
                    <w:tr2bl w:val="nil"/>
                  </w:tcBorders>
                  <w:vAlign w:val="center"/>
                </w:tcPr>
                <w:p w14:paraId="1BF1815D">
                  <w:pPr>
                    <w:pStyle w:val="38"/>
                    <w:bidi w:val="0"/>
                  </w:pPr>
                  <w:r>
                    <w:t>10</w:t>
                  </w:r>
                </w:p>
              </w:tc>
              <w:tc>
                <w:tcPr>
                  <w:tcW w:w="1611" w:type="dxa"/>
                  <w:tcBorders>
                    <w:tl2br w:val="nil"/>
                    <w:tr2bl w:val="nil"/>
                  </w:tcBorders>
                  <w:vAlign w:val="bottom"/>
                </w:tcPr>
                <w:p w14:paraId="79CD624C">
                  <w:pPr>
                    <w:pStyle w:val="38"/>
                    <w:bidi w:val="0"/>
                  </w:pPr>
                  <w:r>
                    <w:rPr>
                      <w:rFonts w:hint="default"/>
                      <w:lang w:val="en-US" w:eastAsia="zh-CN"/>
                    </w:rPr>
                    <w:t>96.00%</w:t>
                  </w:r>
                </w:p>
              </w:tc>
            </w:tr>
            <w:tr w14:paraId="0860A00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50" w:type="dxa"/>
                  <w:vMerge w:val="continue"/>
                  <w:tcBorders>
                    <w:tl2br w:val="nil"/>
                    <w:tr2bl w:val="nil"/>
                  </w:tcBorders>
                  <w:vAlign w:val="center"/>
                </w:tcPr>
                <w:p w14:paraId="5F5A29F1">
                  <w:pPr>
                    <w:pStyle w:val="38"/>
                  </w:pPr>
                </w:p>
              </w:tc>
              <w:tc>
                <w:tcPr>
                  <w:tcW w:w="1950" w:type="dxa"/>
                  <w:tcBorders>
                    <w:tl2br w:val="nil"/>
                    <w:tr2bl w:val="nil"/>
                  </w:tcBorders>
                  <w:vAlign w:val="center"/>
                </w:tcPr>
                <w:p w14:paraId="103FA20A">
                  <w:pPr>
                    <w:pStyle w:val="38"/>
                  </w:pPr>
                  <w:r>
                    <w:t>SS</w:t>
                  </w:r>
                </w:p>
              </w:tc>
              <w:tc>
                <w:tcPr>
                  <w:tcW w:w="1529" w:type="dxa"/>
                  <w:tcBorders>
                    <w:tl2br w:val="nil"/>
                    <w:tr2bl w:val="nil"/>
                  </w:tcBorders>
                  <w:vAlign w:val="center"/>
                </w:tcPr>
                <w:p w14:paraId="47EC070B">
                  <w:pPr>
                    <w:pStyle w:val="38"/>
                    <w:bidi w:val="0"/>
                    <w:rPr>
                      <w:rFonts w:hint="default" w:eastAsia="宋体"/>
                      <w:lang w:val="en-US" w:eastAsia="zh-CN"/>
                    </w:rPr>
                  </w:pPr>
                  <w:r>
                    <w:rPr>
                      <w:rFonts w:hint="eastAsia"/>
                      <w:lang w:val="en-US" w:eastAsia="zh-CN"/>
                    </w:rPr>
                    <w:t>150</w:t>
                  </w:r>
                </w:p>
              </w:tc>
              <w:tc>
                <w:tcPr>
                  <w:tcW w:w="1515" w:type="dxa"/>
                  <w:tcBorders>
                    <w:tl2br w:val="nil"/>
                    <w:tr2bl w:val="nil"/>
                  </w:tcBorders>
                  <w:vAlign w:val="center"/>
                </w:tcPr>
                <w:p w14:paraId="08CBF33D">
                  <w:pPr>
                    <w:pStyle w:val="38"/>
                    <w:bidi w:val="0"/>
                  </w:pPr>
                  <w:r>
                    <w:t>10</w:t>
                  </w:r>
                </w:p>
              </w:tc>
              <w:tc>
                <w:tcPr>
                  <w:tcW w:w="1611" w:type="dxa"/>
                  <w:tcBorders>
                    <w:tl2br w:val="nil"/>
                    <w:tr2bl w:val="nil"/>
                  </w:tcBorders>
                  <w:vAlign w:val="bottom"/>
                </w:tcPr>
                <w:p w14:paraId="0D91A936">
                  <w:pPr>
                    <w:pStyle w:val="38"/>
                    <w:bidi w:val="0"/>
                  </w:pPr>
                  <w:r>
                    <w:rPr>
                      <w:rFonts w:hint="default"/>
                      <w:lang w:val="en-US" w:eastAsia="zh-CN"/>
                    </w:rPr>
                    <w:t>93.33%</w:t>
                  </w:r>
                </w:p>
              </w:tc>
            </w:tr>
            <w:tr w14:paraId="2154D72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50" w:type="dxa"/>
                  <w:vMerge w:val="continue"/>
                  <w:tcBorders>
                    <w:tl2br w:val="nil"/>
                    <w:tr2bl w:val="nil"/>
                  </w:tcBorders>
                  <w:vAlign w:val="center"/>
                </w:tcPr>
                <w:p w14:paraId="1B117F06">
                  <w:pPr>
                    <w:pStyle w:val="38"/>
                  </w:pPr>
                </w:p>
              </w:tc>
              <w:tc>
                <w:tcPr>
                  <w:tcW w:w="1950" w:type="dxa"/>
                  <w:tcBorders>
                    <w:tl2br w:val="nil"/>
                    <w:tr2bl w:val="nil"/>
                  </w:tcBorders>
                  <w:vAlign w:val="center"/>
                </w:tcPr>
                <w:p w14:paraId="1B96C87A">
                  <w:pPr>
                    <w:pStyle w:val="38"/>
                  </w:pPr>
                  <w:r>
                    <w:t>NH</w:t>
                  </w:r>
                  <w:r>
                    <w:rPr>
                      <w:vertAlign w:val="subscript"/>
                    </w:rPr>
                    <w:t>3</w:t>
                  </w:r>
                  <w:r>
                    <w:t>-N</w:t>
                  </w:r>
                </w:p>
              </w:tc>
              <w:tc>
                <w:tcPr>
                  <w:tcW w:w="1529" w:type="dxa"/>
                  <w:tcBorders>
                    <w:tl2br w:val="nil"/>
                    <w:tr2bl w:val="nil"/>
                  </w:tcBorders>
                  <w:vAlign w:val="center"/>
                </w:tcPr>
                <w:p w14:paraId="7D284267">
                  <w:pPr>
                    <w:pStyle w:val="38"/>
                    <w:bidi w:val="0"/>
                    <w:rPr>
                      <w:rFonts w:hint="default" w:eastAsia="宋体"/>
                      <w:lang w:val="en-US" w:eastAsia="zh-CN"/>
                    </w:rPr>
                  </w:pPr>
                  <w:r>
                    <w:rPr>
                      <w:rFonts w:hint="eastAsia"/>
                      <w:lang w:val="en-US" w:eastAsia="zh-CN"/>
                    </w:rPr>
                    <w:t>40</w:t>
                  </w:r>
                </w:p>
              </w:tc>
              <w:tc>
                <w:tcPr>
                  <w:tcW w:w="1515" w:type="dxa"/>
                  <w:tcBorders>
                    <w:tl2br w:val="nil"/>
                    <w:tr2bl w:val="nil"/>
                  </w:tcBorders>
                  <w:vAlign w:val="center"/>
                </w:tcPr>
                <w:p w14:paraId="35A9E2CC">
                  <w:pPr>
                    <w:pStyle w:val="38"/>
                    <w:bidi w:val="0"/>
                  </w:pPr>
                  <w:r>
                    <w:t>5</w:t>
                  </w:r>
                </w:p>
              </w:tc>
              <w:tc>
                <w:tcPr>
                  <w:tcW w:w="1611" w:type="dxa"/>
                  <w:tcBorders>
                    <w:tl2br w:val="nil"/>
                    <w:tr2bl w:val="nil"/>
                  </w:tcBorders>
                  <w:vAlign w:val="bottom"/>
                </w:tcPr>
                <w:p w14:paraId="5FA3A867">
                  <w:pPr>
                    <w:pStyle w:val="38"/>
                    <w:bidi w:val="0"/>
                  </w:pPr>
                  <w:r>
                    <w:rPr>
                      <w:rFonts w:hint="default"/>
                      <w:lang w:val="en-US" w:eastAsia="zh-CN"/>
                    </w:rPr>
                    <w:t>87.50%</w:t>
                  </w:r>
                </w:p>
              </w:tc>
            </w:tr>
            <w:tr w14:paraId="11D5500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50" w:type="dxa"/>
                  <w:vMerge w:val="continue"/>
                  <w:tcBorders>
                    <w:tl2br w:val="nil"/>
                    <w:tr2bl w:val="nil"/>
                  </w:tcBorders>
                  <w:vAlign w:val="center"/>
                </w:tcPr>
                <w:p w14:paraId="4B66BF89">
                  <w:pPr>
                    <w:pStyle w:val="38"/>
                  </w:pPr>
                </w:p>
              </w:tc>
              <w:tc>
                <w:tcPr>
                  <w:tcW w:w="1950" w:type="dxa"/>
                  <w:tcBorders>
                    <w:tl2br w:val="nil"/>
                    <w:tr2bl w:val="nil"/>
                  </w:tcBorders>
                  <w:vAlign w:val="center"/>
                </w:tcPr>
                <w:p w14:paraId="185D75A5">
                  <w:pPr>
                    <w:pStyle w:val="38"/>
                  </w:pPr>
                  <w:r>
                    <w:t>TN</w:t>
                  </w:r>
                </w:p>
              </w:tc>
              <w:tc>
                <w:tcPr>
                  <w:tcW w:w="1529" w:type="dxa"/>
                  <w:tcBorders>
                    <w:tl2br w:val="nil"/>
                    <w:tr2bl w:val="nil"/>
                  </w:tcBorders>
                  <w:vAlign w:val="center"/>
                </w:tcPr>
                <w:p w14:paraId="55222DFA">
                  <w:pPr>
                    <w:pStyle w:val="38"/>
                    <w:bidi w:val="0"/>
                    <w:rPr>
                      <w:rFonts w:hint="default" w:eastAsia="宋体"/>
                      <w:lang w:val="en-US" w:eastAsia="zh-CN"/>
                    </w:rPr>
                  </w:pPr>
                  <w:r>
                    <w:rPr>
                      <w:rFonts w:hint="eastAsia"/>
                      <w:lang w:val="en-US" w:eastAsia="zh-CN"/>
                    </w:rPr>
                    <w:t>35</w:t>
                  </w:r>
                </w:p>
              </w:tc>
              <w:tc>
                <w:tcPr>
                  <w:tcW w:w="1515" w:type="dxa"/>
                  <w:tcBorders>
                    <w:tl2br w:val="nil"/>
                    <w:tr2bl w:val="nil"/>
                  </w:tcBorders>
                  <w:vAlign w:val="center"/>
                </w:tcPr>
                <w:p w14:paraId="112AA63E">
                  <w:pPr>
                    <w:pStyle w:val="38"/>
                    <w:bidi w:val="0"/>
                  </w:pPr>
                  <w:r>
                    <w:t>15</w:t>
                  </w:r>
                </w:p>
              </w:tc>
              <w:tc>
                <w:tcPr>
                  <w:tcW w:w="1611" w:type="dxa"/>
                  <w:tcBorders>
                    <w:tl2br w:val="nil"/>
                    <w:tr2bl w:val="nil"/>
                  </w:tcBorders>
                  <w:vAlign w:val="bottom"/>
                </w:tcPr>
                <w:p w14:paraId="6FB88ACE">
                  <w:pPr>
                    <w:pStyle w:val="38"/>
                    <w:bidi w:val="0"/>
                  </w:pPr>
                  <w:r>
                    <w:rPr>
                      <w:rFonts w:hint="default"/>
                      <w:lang w:val="en-US" w:eastAsia="zh-CN"/>
                    </w:rPr>
                    <w:t>57.14%</w:t>
                  </w:r>
                </w:p>
              </w:tc>
            </w:tr>
            <w:tr w14:paraId="1A32E05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50" w:type="dxa"/>
                  <w:vMerge w:val="continue"/>
                  <w:tcBorders>
                    <w:tl2br w:val="nil"/>
                    <w:tr2bl w:val="nil"/>
                  </w:tcBorders>
                  <w:vAlign w:val="center"/>
                </w:tcPr>
                <w:p w14:paraId="75A72C35">
                  <w:pPr>
                    <w:pStyle w:val="38"/>
                  </w:pPr>
                </w:p>
              </w:tc>
              <w:tc>
                <w:tcPr>
                  <w:tcW w:w="1950" w:type="dxa"/>
                  <w:tcBorders>
                    <w:tl2br w:val="nil"/>
                    <w:tr2bl w:val="nil"/>
                  </w:tcBorders>
                  <w:vAlign w:val="center"/>
                </w:tcPr>
                <w:p w14:paraId="272C0C9C">
                  <w:pPr>
                    <w:pStyle w:val="38"/>
                  </w:pPr>
                  <w:r>
                    <w:t>TP</w:t>
                  </w:r>
                </w:p>
              </w:tc>
              <w:tc>
                <w:tcPr>
                  <w:tcW w:w="1529" w:type="dxa"/>
                  <w:tcBorders>
                    <w:tl2br w:val="nil"/>
                    <w:tr2bl w:val="nil"/>
                  </w:tcBorders>
                  <w:vAlign w:val="center"/>
                </w:tcPr>
                <w:p w14:paraId="77398D3B">
                  <w:pPr>
                    <w:pStyle w:val="38"/>
                    <w:bidi w:val="0"/>
                    <w:rPr>
                      <w:rFonts w:hint="eastAsia" w:eastAsia="宋体"/>
                      <w:lang w:val="en-US" w:eastAsia="zh-CN"/>
                    </w:rPr>
                  </w:pPr>
                  <w:r>
                    <w:rPr>
                      <w:rFonts w:hint="eastAsia"/>
                      <w:lang w:val="en-US" w:eastAsia="zh-CN"/>
                    </w:rPr>
                    <w:t>3</w:t>
                  </w:r>
                </w:p>
              </w:tc>
              <w:tc>
                <w:tcPr>
                  <w:tcW w:w="1515" w:type="dxa"/>
                  <w:tcBorders>
                    <w:tl2br w:val="nil"/>
                    <w:tr2bl w:val="nil"/>
                  </w:tcBorders>
                  <w:vAlign w:val="center"/>
                </w:tcPr>
                <w:p w14:paraId="6E2E89CD">
                  <w:pPr>
                    <w:pStyle w:val="38"/>
                    <w:bidi w:val="0"/>
                  </w:pPr>
                  <w:r>
                    <w:t>0.5</w:t>
                  </w:r>
                </w:p>
              </w:tc>
              <w:tc>
                <w:tcPr>
                  <w:tcW w:w="1611" w:type="dxa"/>
                  <w:tcBorders>
                    <w:tl2br w:val="nil"/>
                    <w:tr2bl w:val="nil"/>
                  </w:tcBorders>
                  <w:vAlign w:val="bottom"/>
                </w:tcPr>
                <w:p w14:paraId="4CC00E40">
                  <w:pPr>
                    <w:pStyle w:val="38"/>
                    <w:bidi w:val="0"/>
                  </w:pPr>
                  <w:r>
                    <w:rPr>
                      <w:rFonts w:hint="default"/>
                      <w:lang w:val="en-US" w:eastAsia="zh-CN"/>
                    </w:rPr>
                    <w:t>83.33%</w:t>
                  </w:r>
                </w:p>
              </w:tc>
            </w:tr>
          </w:tbl>
          <w:p w14:paraId="09E16CDD">
            <w:pPr>
              <w:pStyle w:val="36"/>
              <w:ind w:firstLine="482"/>
              <w:rPr>
                <w:rFonts w:hint="default"/>
                <w:b/>
                <w:bCs/>
              </w:rPr>
            </w:pPr>
            <w:r>
              <w:rPr>
                <w:b/>
                <w:bCs/>
              </w:rPr>
              <w:t>4、水质特性分析</w:t>
            </w:r>
          </w:p>
          <w:p w14:paraId="34F35883">
            <w:pPr>
              <w:pStyle w:val="36"/>
              <w:ind w:firstLine="480"/>
              <w:rPr>
                <w:rFonts w:hint="default"/>
              </w:rPr>
            </w:pPr>
            <w:r>
              <w:t>污水采用生物处理的方法是较经济的，但本项目要求在去除有机物的同时，达到脱氮除磷的效果，需对水质进行分析，确定是否需要投加化学药剂方能达到处理目的。</w:t>
            </w:r>
          </w:p>
          <w:p w14:paraId="49FAB9B8">
            <w:pPr>
              <w:pStyle w:val="36"/>
              <w:ind w:firstLine="480"/>
              <w:rPr>
                <w:rFonts w:hint="default"/>
              </w:rPr>
            </w:pPr>
            <w:r>
              <w:t>污水采用生物处理的方法是较经济的，但本项目要求在去除有机物的同时，达到脱氮除磷的效果，需对水质进行分析，确定是否需要投加化学药剂方能达到处理目的。</w:t>
            </w:r>
          </w:p>
          <w:p w14:paraId="7FD95B1C">
            <w:pPr>
              <w:pStyle w:val="36"/>
              <w:ind w:firstLine="480"/>
              <w:rPr>
                <w:rFonts w:hint="default"/>
              </w:rPr>
            </w:pPr>
            <w:r>
              <w:t>(1)</w:t>
            </w:r>
            <w:r>
              <w:rPr>
                <w:rFonts w:hint="default"/>
              </w:rPr>
              <w:t>BOD</w:t>
            </w:r>
            <w:r>
              <w:rPr>
                <w:rFonts w:hint="default"/>
                <w:vertAlign w:val="subscript"/>
              </w:rPr>
              <w:t>5</w:t>
            </w:r>
            <w:r>
              <w:t>/</w:t>
            </w:r>
            <w:r>
              <w:rPr>
                <w:rFonts w:hint="default"/>
              </w:rPr>
              <w:t>COD</w:t>
            </w:r>
            <w:r>
              <w:rPr>
                <w:rFonts w:hint="default"/>
                <w:vertAlign w:val="subscript"/>
              </w:rPr>
              <w:t>Cr</w:t>
            </w:r>
            <w:r>
              <w:t>：该指标体现了污水的可生化程度，是决定工艺主体参数的重要指标，一般认为</w:t>
            </w:r>
            <w:r>
              <w:rPr>
                <w:rFonts w:hint="default"/>
              </w:rPr>
              <w:t>BOD</w:t>
            </w:r>
            <w:r>
              <w:rPr>
                <w:rFonts w:hint="default"/>
                <w:vertAlign w:val="subscript"/>
              </w:rPr>
              <w:t>5</w:t>
            </w:r>
            <w:r>
              <w:t>/</w:t>
            </w:r>
            <w:r>
              <w:rPr>
                <w:rFonts w:hint="default"/>
              </w:rPr>
              <w:t>COD</w:t>
            </w:r>
            <w:r>
              <w:rPr>
                <w:rFonts w:hint="default"/>
                <w:vertAlign w:val="subscript"/>
              </w:rPr>
              <w:t>Cr</w:t>
            </w:r>
            <w:r>
              <w:t>＞0.40可生化性好，</w:t>
            </w:r>
            <w:r>
              <w:rPr>
                <w:rFonts w:hint="default"/>
              </w:rPr>
              <w:t>BOD</w:t>
            </w:r>
            <w:r>
              <w:rPr>
                <w:rFonts w:hint="default"/>
                <w:vertAlign w:val="subscript"/>
              </w:rPr>
              <w:t>5</w:t>
            </w:r>
            <w:r>
              <w:t>/</w:t>
            </w:r>
            <w:r>
              <w:rPr>
                <w:rFonts w:hint="default"/>
              </w:rPr>
              <w:t>COD</w:t>
            </w:r>
            <w:r>
              <w:rPr>
                <w:rFonts w:hint="default"/>
                <w:vertAlign w:val="subscript"/>
              </w:rPr>
              <w:t>Cr</w:t>
            </w:r>
            <w:r>
              <w:t>＜0.3较难生化，</w:t>
            </w:r>
            <w:r>
              <w:rPr>
                <w:rFonts w:hint="default"/>
              </w:rPr>
              <w:t>BOD</w:t>
            </w:r>
            <w:r>
              <w:rPr>
                <w:rFonts w:hint="default"/>
                <w:vertAlign w:val="subscript"/>
              </w:rPr>
              <w:t>5</w:t>
            </w:r>
            <w:r>
              <w:t>/</w:t>
            </w:r>
            <w:r>
              <w:rPr>
                <w:rFonts w:hint="default"/>
              </w:rPr>
              <w:t>COD</w:t>
            </w:r>
            <w:r>
              <w:rPr>
                <w:rFonts w:hint="default"/>
                <w:vertAlign w:val="subscript"/>
              </w:rPr>
              <w:t>Cr</w:t>
            </w:r>
            <w:r>
              <w:t>＜0.2不易生化，本项目</w:t>
            </w:r>
            <w:r>
              <w:rPr>
                <w:rFonts w:hint="default"/>
              </w:rPr>
              <w:t>BOD</w:t>
            </w:r>
            <w:r>
              <w:rPr>
                <w:rFonts w:hint="default"/>
                <w:vertAlign w:val="subscript"/>
              </w:rPr>
              <w:t>5</w:t>
            </w:r>
            <w:r>
              <w:t>/</w:t>
            </w:r>
            <w:r>
              <w:rPr>
                <w:rFonts w:hint="default"/>
              </w:rPr>
              <w:t>COD</w:t>
            </w:r>
            <w:r>
              <w:rPr>
                <w:rFonts w:hint="default"/>
                <w:vertAlign w:val="subscript"/>
              </w:rPr>
              <w:t>Cr</w:t>
            </w:r>
            <w:r>
              <w:t>=</w:t>
            </w:r>
            <w:r>
              <w:rPr>
                <w:rFonts w:hint="eastAsia"/>
                <w:lang w:val="en-US" w:eastAsia="zh-CN"/>
              </w:rPr>
              <w:t>0.83</w:t>
            </w:r>
            <w:r>
              <w:t>，可采用生物方法去除有机物。</w:t>
            </w:r>
          </w:p>
          <w:p w14:paraId="5BCE931C">
            <w:pPr>
              <w:pStyle w:val="36"/>
              <w:ind w:firstLine="480"/>
              <w:rPr>
                <w:rFonts w:hint="default"/>
              </w:rPr>
            </w:pPr>
            <w:r>
              <w:t>(2)</w:t>
            </w:r>
            <w:r>
              <w:rPr>
                <w:rFonts w:hint="default"/>
              </w:rPr>
              <w:t>BOD</w:t>
            </w:r>
            <w:r>
              <w:rPr>
                <w:rFonts w:hint="default"/>
                <w:vertAlign w:val="subscript"/>
              </w:rPr>
              <w:t>5</w:t>
            </w:r>
            <w:r>
              <w:t>/TKN：该指标反映反硝化过程碳源是否充足，是决定反硝化程度的主要指标，</w:t>
            </w:r>
            <w:r>
              <w:rPr>
                <w:rFonts w:hint="default"/>
              </w:rPr>
              <w:t>BOD</w:t>
            </w:r>
            <w:r>
              <w:rPr>
                <w:rFonts w:hint="default"/>
                <w:vertAlign w:val="subscript"/>
              </w:rPr>
              <w:t>5</w:t>
            </w:r>
            <w:r>
              <w:t>/TKN＞3~5可认为碳源充足，不须投加外碳源，本项目</w:t>
            </w:r>
            <w:r>
              <w:rPr>
                <w:rFonts w:hint="default"/>
              </w:rPr>
              <w:t>BOD</w:t>
            </w:r>
            <w:r>
              <w:rPr>
                <w:rFonts w:hint="default"/>
                <w:vertAlign w:val="subscript"/>
              </w:rPr>
              <w:t>5</w:t>
            </w:r>
            <w:r>
              <w:t>/NH</w:t>
            </w:r>
            <w:r>
              <w:rPr>
                <w:vertAlign w:val="subscript"/>
              </w:rPr>
              <w:t>3</w:t>
            </w:r>
            <w:r>
              <w:t>-N=</w:t>
            </w:r>
            <w:r>
              <w:rPr>
                <w:rFonts w:hint="eastAsia"/>
                <w:lang w:val="en-US" w:eastAsia="zh-CN"/>
              </w:rPr>
              <w:t>6.25</w:t>
            </w:r>
            <w:r>
              <w:t>，</w:t>
            </w:r>
            <w:r>
              <w:rPr>
                <w:rFonts w:hint="default"/>
              </w:rPr>
              <w:t>BOD</w:t>
            </w:r>
            <w:r>
              <w:rPr>
                <w:rFonts w:hint="default"/>
                <w:vertAlign w:val="subscript"/>
              </w:rPr>
              <w:t>5</w:t>
            </w:r>
            <w:r>
              <w:t>/TN=</w:t>
            </w:r>
            <w:r>
              <w:rPr>
                <w:rFonts w:hint="eastAsia"/>
                <w:lang w:val="en-US" w:eastAsia="zh-CN"/>
              </w:rPr>
              <w:t>7.14</w:t>
            </w:r>
            <w:r>
              <w:t>，理论上能满足碳源需要。</w:t>
            </w:r>
          </w:p>
          <w:p w14:paraId="2399E81B">
            <w:pPr>
              <w:pStyle w:val="36"/>
              <w:ind w:firstLine="480"/>
              <w:rPr>
                <w:rFonts w:hint="default"/>
              </w:rPr>
            </w:pPr>
            <w:r>
              <w:t>(3)</w:t>
            </w:r>
            <w:r>
              <w:rPr>
                <w:rFonts w:hint="default"/>
              </w:rPr>
              <w:t>BOD</w:t>
            </w:r>
            <w:r>
              <w:rPr>
                <w:rFonts w:hint="default"/>
                <w:vertAlign w:val="subscript"/>
              </w:rPr>
              <w:t>5</w:t>
            </w:r>
            <w:r>
              <w:t>/TP：该指标是反映生物除磷效果的主要指标。较高的</w:t>
            </w:r>
            <w:r>
              <w:rPr>
                <w:rFonts w:hint="default"/>
              </w:rPr>
              <w:t>BOD</w:t>
            </w:r>
            <w:r>
              <w:rPr>
                <w:rFonts w:hint="default"/>
                <w:vertAlign w:val="subscript"/>
              </w:rPr>
              <w:t>5</w:t>
            </w:r>
            <w:r>
              <w:t>负荷可取得较好的除磷效果，一般认为</w:t>
            </w:r>
            <w:r>
              <w:rPr>
                <w:rFonts w:hint="default"/>
              </w:rPr>
              <w:t>BOD</w:t>
            </w:r>
            <w:r>
              <w:rPr>
                <w:rFonts w:hint="default"/>
                <w:vertAlign w:val="subscript"/>
              </w:rPr>
              <w:t>5</w:t>
            </w:r>
            <w:r>
              <w:t>/TP≥17，可采用生物除磷，有机基质不同对除磷也有影响，一般低分子易降解的有机物诱导磷的释放能力强，高分子难降解有机物诱导磷的释放能力弱，而磷的释放越充分，其摄取量也越大，本项目</w:t>
            </w:r>
            <w:r>
              <w:rPr>
                <w:rFonts w:hint="default"/>
              </w:rPr>
              <w:t>BOD</w:t>
            </w:r>
            <w:r>
              <w:rPr>
                <w:rFonts w:hint="default"/>
                <w:vertAlign w:val="subscript"/>
              </w:rPr>
              <w:t>5</w:t>
            </w:r>
            <w:r>
              <w:t>/TP=</w:t>
            </w:r>
            <w:r>
              <w:rPr>
                <w:rFonts w:hint="eastAsia"/>
                <w:lang w:val="en-US" w:eastAsia="zh-CN"/>
              </w:rPr>
              <w:t>83.3</w:t>
            </w:r>
            <w:r>
              <w:t>，可采用生物处理除磷。</w:t>
            </w:r>
          </w:p>
          <w:p w14:paraId="2C597F98">
            <w:pPr>
              <w:pStyle w:val="36"/>
              <w:ind w:firstLine="482"/>
              <w:rPr>
                <w:rFonts w:hint="default" w:eastAsia="宋体"/>
                <w:lang w:val="en-US" w:eastAsia="zh-CN"/>
              </w:rPr>
            </w:pPr>
            <w:r>
              <w:rPr>
                <w:b/>
                <w:bCs/>
              </w:rPr>
              <w:t>（</w:t>
            </w:r>
            <w:r>
              <w:rPr>
                <w:rFonts w:hint="eastAsia"/>
                <w:b/>
                <w:bCs/>
                <w:lang w:val="en-US" w:eastAsia="zh-CN"/>
              </w:rPr>
              <w:t>四</w:t>
            </w:r>
            <w:r>
              <w:rPr>
                <w:b/>
                <w:bCs/>
              </w:rPr>
              <w:t>）</w:t>
            </w:r>
            <w:r>
              <w:rPr>
                <w:rFonts w:hint="eastAsia"/>
                <w:b/>
                <w:bCs/>
              </w:rPr>
              <w:t>污水处理工艺方案</w:t>
            </w:r>
            <w:r>
              <w:rPr>
                <w:rFonts w:hint="eastAsia"/>
                <w:b/>
                <w:bCs/>
                <w:lang w:eastAsia="zh-CN"/>
              </w:rPr>
              <w:t>的</w:t>
            </w:r>
            <w:r>
              <w:rPr>
                <w:rFonts w:hint="eastAsia"/>
                <w:b/>
                <w:bCs/>
                <w:lang w:val="en-US" w:eastAsia="zh-CN"/>
              </w:rPr>
              <w:t>确定</w:t>
            </w:r>
          </w:p>
          <w:p w14:paraId="225FEFA1">
            <w:pPr>
              <w:pStyle w:val="36"/>
              <w:ind w:firstLine="482"/>
              <w:rPr>
                <w:rFonts w:hint="default" w:eastAsia="宋体"/>
                <w:b/>
                <w:bCs/>
                <w:lang w:val="en-US" w:eastAsia="zh-CN"/>
              </w:rPr>
            </w:pPr>
            <w:r>
              <w:rPr>
                <w:b/>
                <w:bCs/>
              </w:rPr>
              <w:t>1、</w:t>
            </w:r>
            <w:r>
              <w:rPr>
                <w:rFonts w:hint="eastAsia"/>
                <w:b/>
                <w:bCs/>
                <w:lang w:val="en-US" w:eastAsia="zh-CN"/>
              </w:rPr>
              <w:t>主要污染物的去除</w:t>
            </w:r>
          </w:p>
          <w:p w14:paraId="50538D0C">
            <w:pPr>
              <w:pStyle w:val="36"/>
              <w:ind w:firstLine="480"/>
              <w:rPr>
                <w:rFonts w:hint="default"/>
              </w:rPr>
            </w:pPr>
            <w:r>
              <w:rPr>
                <w:rFonts w:hint="eastAsia"/>
                <w:lang w:eastAsia="zh-CN"/>
              </w:rPr>
              <w:t>（</w:t>
            </w:r>
            <w:r>
              <w:rPr>
                <w:rFonts w:hint="eastAsia"/>
                <w:lang w:val="en-US" w:eastAsia="zh-CN"/>
              </w:rPr>
              <w:t>1</w:t>
            </w:r>
            <w:r>
              <w:rPr>
                <w:rFonts w:hint="eastAsia"/>
                <w:lang w:eastAsia="zh-CN"/>
              </w:rPr>
              <w:t>）</w:t>
            </w:r>
            <w:r>
              <w:rPr>
                <w:rFonts w:hint="default"/>
              </w:rPr>
              <w:t>SS的去除</w:t>
            </w:r>
          </w:p>
          <w:p w14:paraId="6AE7F956">
            <w:pPr>
              <w:pStyle w:val="36"/>
              <w:ind w:firstLine="480"/>
              <w:rPr>
                <w:rFonts w:hint="default"/>
              </w:rPr>
            </w:pPr>
            <w:r>
              <w:rPr>
                <w:rFonts w:hint="default"/>
              </w:rPr>
              <w:t>污水中的SS的去除主要靠沉淀作用，进一步的去除靠深度处理。污水中的无机颗粒和大尺度的有机颗粒靠自然沉淀作用就可去除，小尺度的有机颗粒靠微生物的降解作用去除，而小尺度的无机颗粒（包括尺度大小在胶体和亚胶体范围内的无机颗粒）则要靠活性污泥絮体的吸附、网络作用，与活性污泥絮体同时沉淀被去除。</w:t>
            </w:r>
          </w:p>
          <w:p w14:paraId="677D1114">
            <w:pPr>
              <w:pStyle w:val="36"/>
              <w:ind w:firstLine="480"/>
              <w:rPr>
                <w:rFonts w:hint="default"/>
              </w:rPr>
            </w:pPr>
            <w:r>
              <w:rPr>
                <w:rFonts w:hint="default"/>
              </w:rPr>
              <w:t>污水处理厂出水中悬浮物浓度不单涉及出水SS指标，而且与出水中的BOD</w:t>
            </w:r>
            <w:r>
              <w:rPr>
                <w:rFonts w:hint="default"/>
                <w:vertAlign w:val="subscript"/>
              </w:rPr>
              <w:t>5</w:t>
            </w:r>
            <w:r>
              <w:rPr>
                <w:rFonts w:hint="default"/>
              </w:rPr>
              <w:t>、COD</w:t>
            </w:r>
            <w:r>
              <w:rPr>
                <w:rFonts w:hint="default"/>
                <w:vertAlign w:val="subscript"/>
              </w:rPr>
              <w:t>Cr</w:t>
            </w:r>
            <w:r>
              <w:rPr>
                <w:rFonts w:hint="default"/>
              </w:rPr>
              <w:t>等指标相关。这是因为组成出水悬浮物的主要是活性污泥絮体，本身有机成分就很高，因此，控制污水处理厂出水的SS指标是最基本的，也是很重要的。</w:t>
            </w:r>
          </w:p>
          <w:p w14:paraId="37874B28">
            <w:pPr>
              <w:pStyle w:val="36"/>
              <w:ind w:firstLine="480"/>
              <w:rPr>
                <w:rFonts w:hint="default"/>
              </w:rPr>
            </w:pPr>
            <w:r>
              <w:rPr>
                <w:rFonts w:hint="default"/>
              </w:rPr>
              <w:t>为了降低出水中的悬浮物浓度，应在工程中选择适当的污泥负荷以保持活性污泥的凝聚及沉降性能、采用较小的二次沉淀池表面负荷和较低的出水堰负荷、充分利用活性污泥悬浮层的吸附网络作用等。在污水处理整体方案合理和单体设计优化的条件下，完全能够使出水SS指标达到10mg/L以下。</w:t>
            </w:r>
          </w:p>
          <w:p w14:paraId="6A83411D">
            <w:pPr>
              <w:pStyle w:val="36"/>
              <w:ind w:firstLine="480"/>
              <w:rPr>
                <w:rFonts w:hint="default"/>
              </w:rPr>
            </w:pPr>
            <w:r>
              <w:rPr>
                <w:rFonts w:hint="eastAsia"/>
                <w:lang w:eastAsia="zh-CN"/>
              </w:rPr>
              <w:t>（</w:t>
            </w:r>
            <w:r>
              <w:rPr>
                <w:rFonts w:hint="eastAsia"/>
                <w:lang w:val="en-US" w:eastAsia="zh-CN"/>
              </w:rPr>
              <w:t>2</w:t>
            </w:r>
            <w:r>
              <w:rPr>
                <w:rFonts w:hint="eastAsia"/>
                <w:lang w:eastAsia="zh-CN"/>
              </w:rPr>
              <w:t>）</w:t>
            </w:r>
            <w:r>
              <w:rPr>
                <w:rFonts w:hint="default"/>
              </w:rPr>
              <w:t>BOD</w:t>
            </w:r>
            <w:r>
              <w:rPr>
                <w:rFonts w:hint="default"/>
                <w:vertAlign w:val="subscript"/>
              </w:rPr>
              <w:t>5</w:t>
            </w:r>
            <w:r>
              <w:rPr>
                <w:rFonts w:hint="default"/>
              </w:rPr>
              <w:t>的去除</w:t>
            </w:r>
          </w:p>
          <w:p w14:paraId="53243521">
            <w:pPr>
              <w:pStyle w:val="36"/>
              <w:ind w:firstLine="480"/>
              <w:rPr>
                <w:rFonts w:hint="default"/>
              </w:rPr>
            </w:pPr>
            <w:r>
              <w:rPr>
                <w:rFonts w:hint="default"/>
              </w:rPr>
              <w:t>污水中的BOD</w:t>
            </w:r>
            <w:r>
              <w:rPr>
                <w:rFonts w:hint="default"/>
                <w:vertAlign w:val="subscript"/>
              </w:rPr>
              <w:t>5</w:t>
            </w:r>
            <w:r>
              <w:rPr>
                <w:rFonts w:hint="default"/>
              </w:rPr>
              <w:t>的去除是靠微生物的吸附作用和代谢作用，然后对污泥与水进行分离来完成的。</w:t>
            </w:r>
          </w:p>
          <w:p w14:paraId="42F4260C">
            <w:pPr>
              <w:pStyle w:val="36"/>
              <w:ind w:firstLine="480"/>
              <w:rPr>
                <w:rFonts w:hint="default"/>
              </w:rPr>
            </w:pPr>
            <w:r>
              <w:rPr>
                <w:rFonts w:hint="default"/>
              </w:rPr>
              <w:t>活性污泥中的微生物在有氧的条件下将污水中的一部分有机物用于合成新的细胞，将另一部分有机物进行分解代谢以便获得细胞合成所需的能量，其最终产物是CO2和H2O等稳定物质。在这种合成代谢与分解代谢的过程中，溶解性有机物（如低分子有机酸等易降解有机物）直接进入细胞内部被利用，而非溶解性有机物则首先被吸附在微生物表面，然后被酶水解后进入细胞内部被利用。由此可见，微生物的好氧代谢作用对污水中的溶解性有机物和非溶解性有机物都起作用，并且代谢产物是无害的稳定物质，因此，可以使处理后污水中的残余BOD</w:t>
            </w:r>
            <w:r>
              <w:rPr>
                <w:rFonts w:hint="default"/>
                <w:vertAlign w:val="subscript"/>
              </w:rPr>
              <w:t>5</w:t>
            </w:r>
            <w:r>
              <w:rPr>
                <w:rFonts w:hint="default"/>
              </w:rPr>
              <w:t>浓度很低。实践表明，在污泥负荷为0.2kgBOD</w:t>
            </w:r>
            <w:r>
              <w:rPr>
                <w:rFonts w:hint="default"/>
                <w:vertAlign w:val="subscript"/>
              </w:rPr>
              <w:t>5</w:t>
            </w:r>
            <w:r>
              <w:rPr>
                <w:rFonts w:hint="default"/>
              </w:rPr>
              <w:t>/kgMLSS·d以下时，就很容易使得出水BOD</w:t>
            </w:r>
            <w:r>
              <w:rPr>
                <w:rFonts w:hint="default"/>
                <w:vertAlign w:val="subscript"/>
              </w:rPr>
              <w:t>5</w:t>
            </w:r>
            <w:r>
              <w:rPr>
                <w:rFonts w:hint="default"/>
              </w:rPr>
              <w:t>保持在10mg/L以下。为获得好氧代谢作用的充分发挥，增加泥龄是获得有机物降解和污泥稳定的最佳选择。</w:t>
            </w:r>
          </w:p>
          <w:p w14:paraId="4DABED86">
            <w:pPr>
              <w:pStyle w:val="36"/>
              <w:ind w:firstLine="480"/>
              <w:rPr>
                <w:rFonts w:hint="default"/>
              </w:rPr>
            </w:pPr>
            <w:r>
              <w:rPr>
                <w:rFonts w:hint="eastAsia"/>
                <w:lang w:eastAsia="zh-CN"/>
              </w:rPr>
              <w:t>（</w:t>
            </w:r>
            <w:r>
              <w:rPr>
                <w:rFonts w:hint="eastAsia"/>
                <w:lang w:val="en-US" w:eastAsia="zh-CN"/>
              </w:rPr>
              <w:t>3</w:t>
            </w:r>
            <w:r>
              <w:rPr>
                <w:rFonts w:hint="eastAsia"/>
                <w:lang w:eastAsia="zh-CN"/>
              </w:rPr>
              <w:t>）</w:t>
            </w:r>
            <w:r>
              <w:rPr>
                <w:rFonts w:hint="default"/>
              </w:rPr>
              <w:t>COD</w:t>
            </w:r>
            <w:r>
              <w:rPr>
                <w:rFonts w:hint="default"/>
                <w:vertAlign w:val="subscript"/>
              </w:rPr>
              <w:t>Cr</w:t>
            </w:r>
            <w:r>
              <w:rPr>
                <w:rFonts w:hint="default"/>
              </w:rPr>
              <w:t>的去除</w:t>
            </w:r>
          </w:p>
          <w:p w14:paraId="09184367">
            <w:pPr>
              <w:pStyle w:val="36"/>
              <w:ind w:firstLine="480"/>
              <w:rPr>
                <w:rFonts w:hint="default"/>
              </w:rPr>
            </w:pPr>
            <w:r>
              <w:rPr>
                <w:rFonts w:hint="default"/>
              </w:rPr>
              <w:t>污水中COD</w:t>
            </w:r>
            <w:r>
              <w:rPr>
                <w:rFonts w:hint="default"/>
                <w:vertAlign w:val="subscript"/>
              </w:rPr>
              <w:t>Cr</w:t>
            </w:r>
            <w:r>
              <w:rPr>
                <w:rFonts w:hint="default"/>
              </w:rPr>
              <w:t>去除的原理与BOD</w:t>
            </w:r>
            <w:r>
              <w:rPr>
                <w:rFonts w:hint="default"/>
                <w:vertAlign w:val="subscript"/>
              </w:rPr>
              <w:t>5</w:t>
            </w:r>
            <w:r>
              <w:rPr>
                <w:rFonts w:hint="default"/>
              </w:rPr>
              <w:t>基本相同，取决于原污水中的可生化性，它与城市污水的组成有关。</w:t>
            </w:r>
          </w:p>
          <w:p w14:paraId="3A56DBE0">
            <w:pPr>
              <w:pStyle w:val="36"/>
              <w:ind w:firstLine="480"/>
              <w:rPr>
                <w:rFonts w:hint="default"/>
              </w:rPr>
            </w:pPr>
            <w:r>
              <w:rPr>
                <w:rFonts w:hint="default"/>
              </w:rPr>
              <w:t>本项目污水进水BOD</w:t>
            </w:r>
            <w:r>
              <w:rPr>
                <w:rFonts w:hint="default"/>
                <w:vertAlign w:val="subscript"/>
              </w:rPr>
              <w:t>5</w:t>
            </w:r>
            <w:r>
              <w:rPr>
                <w:rFonts w:hint="default"/>
              </w:rPr>
              <w:t>/COD</w:t>
            </w:r>
            <w:r>
              <w:rPr>
                <w:rFonts w:hint="default"/>
                <w:vertAlign w:val="subscript"/>
              </w:rPr>
              <w:t>Cr</w:t>
            </w:r>
            <w:r>
              <w:rPr>
                <w:rFonts w:hint="default"/>
              </w:rPr>
              <w:t>=0.47，污水可生化性较好，采用二级生物处理加深度处理工艺即能满足设计要求。</w:t>
            </w:r>
          </w:p>
          <w:p w14:paraId="2A02F30B">
            <w:pPr>
              <w:pStyle w:val="36"/>
              <w:ind w:firstLine="480"/>
              <w:rPr>
                <w:rFonts w:hint="default"/>
              </w:rPr>
            </w:pPr>
            <w:r>
              <w:rPr>
                <w:rFonts w:hint="default"/>
              </w:rPr>
              <w:t>污水脱氮除磷可供选择的处理方法通常有生物处理法及物理化学法两大类。国外从60年代开始曾系统地进行了脱氮除磷的物化处理方法研究，结果认为物化法的缺点是耗药量大、污泥多、运行费用高等，因此，城市污水处理厂一般不推荐优先采用。从70年代以来，国外开始研究并逐步采用活性污泥法生物脱氮除磷。目前常用的生物脱氮除磷工艺有A2/O法、A/O法等。近年来，随着对处理厂出水水质要求的不断提高，A2/O很难达到氮、磷同时具有较高的去除率，因此，一般采用以脱氮除磷为主的A2/O，辅以一定的化学除磷，保证出水达到要求。</w:t>
            </w:r>
          </w:p>
          <w:p w14:paraId="3BAEA442">
            <w:pPr>
              <w:pStyle w:val="36"/>
              <w:ind w:firstLine="480"/>
              <w:rPr>
                <w:rFonts w:hint="default"/>
              </w:rPr>
            </w:pPr>
            <w:r>
              <w:rPr>
                <w:rFonts w:hint="eastAsia"/>
                <w:lang w:eastAsia="zh-CN"/>
              </w:rPr>
              <w:t>（</w:t>
            </w:r>
            <w:r>
              <w:rPr>
                <w:rFonts w:hint="eastAsia"/>
                <w:lang w:val="en-US" w:eastAsia="zh-CN"/>
              </w:rPr>
              <w:t>4</w:t>
            </w:r>
            <w:r>
              <w:rPr>
                <w:rFonts w:hint="eastAsia"/>
                <w:lang w:eastAsia="zh-CN"/>
              </w:rPr>
              <w:t>）</w:t>
            </w:r>
            <w:r>
              <w:rPr>
                <w:rFonts w:hint="default"/>
              </w:rPr>
              <w:t>氮的去除</w:t>
            </w:r>
          </w:p>
          <w:p w14:paraId="3D579E7E">
            <w:pPr>
              <w:pStyle w:val="36"/>
              <w:ind w:firstLine="480"/>
              <w:rPr>
                <w:rFonts w:hint="default"/>
              </w:rPr>
            </w:pPr>
            <w:r>
              <w:rPr>
                <w:rFonts w:hint="default"/>
              </w:rPr>
              <w:t>生物脱氮是利用自然界氮的循环原理，采用人工方法予以控制。首先，污水中的含氮有机物转化成氨氮，而后在好氧条件下，由硝化菌作用变成硝酸盐氮，这阶段称为好氧硝化。随后在缺氧条件下，由反硝化菌作用，并有外加碳源提供能量，使硝酸盐氮变成氮气逸出，这阶段称为缺氧反硝化。整个生物脱氮过程就是氮的分解还原反应，反应能量从有机物中获取。在硝化与反硝化过程中，影响其脱氮效率的因素是温度、溶解氧、pH值以及反硝化碳源。生物脱氮系统中，硝化菌增长速度较缓慢，所以，要有足够的污泥泥龄。反硝化菌的生长主要在缺氧条件下进行，并且要有充裕的碳源提供能量，才可促使反硝化作用顺利进行。</w:t>
            </w:r>
          </w:p>
          <w:p w14:paraId="4EA3ADD2">
            <w:pPr>
              <w:pStyle w:val="38"/>
              <w:bidi w:val="0"/>
              <w:rPr>
                <w:rFonts w:hint="default"/>
              </w:rPr>
            </w:pPr>
            <w:r>
              <w:drawing>
                <wp:inline distT="0" distB="0" distL="0" distR="0">
                  <wp:extent cx="5219700" cy="419735"/>
                  <wp:effectExtent l="12700" t="12700" r="25400" b="24765"/>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8"/>
                          <a:stretch>
                            <a:fillRect/>
                          </a:stretch>
                        </pic:blipFill>
                        <pic:spPr>
                          <a:xfrm>
                            <a:off x="0" y="0"/>
                            <a:ext cx="5219700" cy="420160"/>
                          </a:xfrm>
                          <a:prstGeom prst="rect">
                            <a:avLst/>
                          </a:prstGeom>
                          <a:ln w="12700">
                            <a:solidFill>
                              <a:schemeClr val="tx1"/>
                            </a:solidFill>
                          </a:ln>
                        </pic:spPr>
                      </pic:pic>
                    </a:graphicData>
                  </a:graphic>
                </wp:inline>
              </w:drawing>
            </w:r>
          </w:p>
          <w:p w14:paraId="7454A15A">
            <w:pPr>
              <w:pStyle w:val="53"/>
              <w:bidi w:val="0"/>
              <w:rPr>
                <w:rFonts w:hint="default"/>
              </w:rPr>
            </w:pPr>
            <w:r>
              <w:t>生物脱氮过程示意图</w:t>
            </w:r>
          </w:p>
          <w:p w14:paraId="67D1DF60">
            <w:pPr>
              <w:pStyle w:val="36"/>
              <w:ind w:firstLine="480"/>
              <w:rPr>
                <w:rFonts w:hint="default"/>
              </w:rPr>
            </w:pPr>
            <w:r>
              <w:rPr>
                <w:rFonts w:hint="eastAsia"/>
                <w:lang w:eastAsia="zh-CN"/>
              </w:rPr>
              <w:t>（</w:t>
            </w:r>
            <w:r>
              <w:rPr>
                <w:rFonts w:hint="eastAsia"/>
                <w:lang w:val="en-US" w:eastAsia="zh-CN"/>
              </w:rPr>
              <w:t>5</w:t>
            </w:r>
            <w:r>
              <w:rPr>
                <w:rFonts w:hint="eastAsia"/>
                <w:lang w:eastAsia="zh-CN"/>
              </w:rPr>
              <w:t>）</w:t>
            </w:r>
            <w:r>
              <w:rPr>
                <w:rFonts w:hint="default"/>
              </w:rPr>
              <w:t>磷的去除</w:t>
            </w:r>
          </w:p>
          <w:p w14:paraId="4B2B6B8C">
            <w:pPr>
              <w:pStyle w:val="36"/>
              <w:ind w:firstLine="480"/>
              <w:rPr>
                <w:rFonts w:hint="default"/>
              </w:rPr>
            </w:pPr>
            <w:r>
              <w:rPr>
                <w:rFonts w:hint="eastAsia" w:ascii="宋体" w:hAnsi="宋体" w:eastAsia="宋体" w:cs="宋体"/>
              </w:rPr>
              <w:t>①</w:t>
            </w:r>
            <w:r>
              <w:rPr>
                <w:rFonts w:hint="default"/>
              </w:rPr>
              <w:t>生物除磷</w:t>
            </w:r>
          </w:p>
          <w:p w14:paraId="04B04D1C">
            <w:pPr>
              <w:pStyle w:val="36"/>
              <w:ind w:firstLine="480"/>
              <w:rPr>
                <w:rFonts w:hint="default"/>
              </w:rPr>
            </w:pPr>
            <w:r>
              <w:rPr>
                <w:rFonts w:hint="default"/>
              </w:rPr>
              <w:t>生物除磷是污水中的聚磷菌在厌氧条件下，受到压抑而释放出体内的磷酸盐，产生能量用以吸收降解有机物，并转化为PHB储存起来。当这些聚磷菌进入好氧条件下时就降解体内储存的PHB产生能量，用于细胞的合成和吸磷，形成高浓度的含磷污泥，随剩余污泥排出系统，从而达到除磷的目的。生物除磷的优点是不增加剩余污泥量，处理成本较低。缺点是为了避免剩余污泥中磷的再次释放，对污泥处理工艺的选择有一定的限制。另外，在厌氧阶段释放1mg/L的磷吸收储存的有机物，经好氧分解后产生的能量用于细胞合成、增殖，能够吸收2～2.4mg/L的磷。因此磷的吸收取决于磷的释放，而磷的释放取决于污水中存在的可快速降解的有机物的含量，有机物与磷的比值越大，除磷效果越好。一般的活性污泥法，其剩余污泥的中磷含量为1.5%～2%，采用生物除磷工艺的剩余活性污泥中磷的含量可以达到传统活性污泥法的2～3倍。生物除磷是聚磷菌必须在厌氧条件下受到压抑，而后进入好氧段才能增大磷的吸收量。因此，污水生物除磷的处理工艺，须在好氧阶段之前设置厌氧段，即厌氧释磷和好氧吸收磷、降解有机物等工艺。</w:t>
            </w:r>
          </w:p>
          <w:p w14:paraId="67418DFE">
            <w:pPr>
              <w:pStyle w:val="36"/>
              <w:ind w:firstLine="480"/>
              <w:rPr>
                <w:rFonts w:hint="default"/>
              </w:rPr>
            </w:pPr>
            <w:r>
              <w:rPr>
                <w:rFonts w:hint="eastAsia" w:ascii="宋体" w:hAnsi="宋体" w:eastAsia="宋体" w:cs="宋体"/>
              </w:rPr>
              <w:t>②</w:t>
            </w:r>
            <w:r>
              <w:rPr>
                <w:rFonts w:hint="default"/>
              </w:rPr>
              <w:t>化学除磷</w:t>
            </w:r>
          </w:p>
          <w:p w14:paraId="27610624">
            <w:pPr>
              <w:pStyle w:val="36"/>
              <w:ind w:firstLine="480"/>
              <w:rPr>
                <w:rFonts w:hint="default"/>
              </w:rPr>
            </w:pPr>
            <w:r>
              <w:rPr>
                <w:rFonts w:hint="default"/>
              </w:rPr>
              <w:t>化学除磷主要是向污水中投加药剂，使药剂与水中溶解性磷酸盐形成不溶性磷酸盐沉淀物，然后通过固液分离达到除磷目的。按照有关资料，当要求出水含磷≤0.5mg/l时，一般去除1kg磷所需要投加2.7kg铁或1.3kg铝。对特定的污水，金属盐投加量须通过试验确定。化学除磷方法的产泥量将增加，仅由沉淀剂与磷酸根结合生成的干泥量为2.3kgTs/kgFe或3.6kgTs/kgAl，此外，还须考虑附带的沉淀物。因此实际应用中每kg用铁量产生2.5kg污泥或每kg用铝量产生4.0kg污泥来计算产泥量。化学除磷的优点是工艺简单，缺点是药剂消耗量大，剩余污泥量增加、浓度降低、体积增大，污泥处理难度增加，同时还要消耗水中碱度，影响氨氮硝化。</w:t>
            </w:r>
          </w:p>
          <w:p w14:paraId="4B117E2D">
            <w:pPr>
              <w:pStyle w:val="36"/>
              <w:ind w:firstLine="480"/>
              <w:rPr>
                <w:rFonts w:hint="default"/>
                <w:b/>
                <w:bCs/>
              </w:rPr>
            </w:pPr>
            <w:r>
              <w:rPr>
                <w:rFonts w:hint="eastAsia"/>
                <w:b/>
                <w:bCs/>
                <w:lang w:val="en-US" w:eastAsia="zh-CN"/>
              </w:rPr>
              <w:t>2、</w:t>
            </w:r>
            <w:r>
              <w:rPr>
                <w:rFonts w:hint="default"/>
                <w:b/>
                <w:bCs/>
              </w:rPr>
              <w:t>预处理工艺论证</w:t>
            </w:r>
          </w:p>
          <w:p w14:paraId="29B13575">
            <w:pPr>
              <w:pStyle w:val="36"/>
              <w:ind w:firstLine="480"/>
              <w:rPr>
                <w:rFonts w:hint="default"/>
              </w:rPr>
            </w:pPr>
            <w:r>
              <w:rPr>
                <w:rFonts w:hint="default"/>
              </w:rPr>
              <w:t>污水进入生化池之前，需要去除污水中较大的无机颗粒以保护后续生化处理设备运行安全。废水常用的物化预处理方法很多，但实际应用得最广的是格栅、沉砂和调节池方法。</w:t>
            </w:r>
          </w:p>
          <w:p w14:paraId="19535DD0">
            <w:pPr>
              <w:pStyle w:val="36"/>
              <w:ind w:firstLine="480"/>
              <w:rPr>
                <w:rFonts w:hint="default"/>
              </w:rPr>
            </w:pPr>
            <w:r>
              <w:rPr>
                <w:rFonts w:hint="default"/>
              </w:rPr>
              <w:t>基于废水性质考虑，本方案选择粗格栅+细格栅及沉砂池+调节池及事故池作为预处理工艺。</w:t>
            </w:r>
          </w:p>
          <w:p w14:paraId="4DF06D5E">
            <w:pPr>
              <w:pStyle w:val="36"/>
              <w:ind w:firstLine="480"/>
              <w:rPr>
                <w:rFonts w:hint="default" w:eastAsia="宋体"/>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格栅</w:t>
            </w:r>
          </w:p>
          <w:p w14:paraId="79C1F59E">
            <w:pPr>
              <w:pStyle w:val="36"/>
              <w:ind w:firstLine="480"/>
              <w:rPr>
                <w:rFonts w:hint="default"/>
              </w:rPr>
            </w:pPr>
            <w:r>
              <w:rPr>
                <w:rFonts w:ascii="宋体" w:hAnsi="宋体" w:eastAsia="宋体" w:cs="宋体"/>
                <w:spacing w:val="-3"/>
                <w:sz w:val="24"/>
                <w:szCs w:val="24"/>
              </w:rPr>
              <w:t>格栅是常规预处理措施，不可或缺，除去污水中较大的颗粒状固</w:t>
            </w:r>
            <w:r>
              <w:rPr>
                <w:rFonts w:ascii="宋体" w:hAnsi="宋体" w:eastAsia="宋体" w:cs="宋体"/>
                <w:spacing w:val="-4"/>
                <w:sz w:val="24"/>
                <w:szCs w:val="24"/>
              </w:rPr>
              <w:t>体及纤维杂</w:t>
            </w:r>
            <w:r>
              <w:rPr>
                <w:rFonts w:ascii="宋体" w:hAnsi="宋体" w:eastAsia="宋体" w:cs="宋体"/>
                <w:spacing w:val="-3"/>
                <w:sz w:val="24"/>
                <w:szCs w:val="24"/>
              </w:rPr>
              <w:t>质，以防止其后的处理构筑物管道、水泵等设备堵塞。常见的几种格栅类型如下表所示。</w:t>
            </w:r>
          </w:p>
          <w:p w14:paraId="2F13320E">
            <w:pPr>
              <w:pStyle w:val="52"/>
              <w:bidi w:val="0"/>
              <w:rPr>
                <w:rFonts w:hint="default"/>
              </w:rPr>
            </w:pPr>
            <w:r>
              <w:t>不同类型格栅的比较</w:t>
            </w:r>
            <w:r>
              <w:rPr>
                <w:rFonts w:hint="eastAsia"/>
                <w:lang w:val="en-US" w:eastAsia="zh-CN"/>
              </w:rPr>
              <w:t>一览表</w:t>
            </w:r>
          </w:p>
          <w:tbl>
            <w:tblPr>
              <w:tblStyle w:val="129"/>
              <w:tblW w:w="8523" w:type="dxa"/>
              <w:tblInd w:w="6"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185"/>
              <w:gridCol w:w="2573"/>
              <w:gridCol w:w="2336"/>
              <w:gridCol w:w="2429"/>
            </w:tblGrid>
            <w:tr w14:paraId="14ADA82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85" w:type="dxa"/>
                  <w:tcBorders>
                    <w:tl2br w:val="nil"/>
                    <w:tr2bl w:val="nil"/>
                  </w:tcBorders>
                  <w:vAlign w:val="center"/>
                </w:tcPr>
                <w:p w14:paraId="232C62FA">
                  <w:pPr>
                    <w:pStyle w:val="38"/>
                    <w:bidi w:val="0"/>
                    <w:ind w:left="0" w:leftChars="0" w:right="0" w:rightChars="0" w:firstLine="0" w:firstLineChars="0"/>
                    <w:jc w:val="center"/>
                    <w:rPr>
                      <w:b/>
                      <w:bCs/>
                    </w:rPr>
                  </w:pPr>
                  <w:r>
                    <w:rPr>
                      <w:b/>
                      <w:bCs/>
                    </w:rPr>
                    <w:t>类型</w:t>
                  </w:r>
                </w:p>
              </w:tc>
              <w:tc>
                <w:tcPr>
                  <w:tcW w:w="2573" w:type="dxa"/>
                  <w:tcBorders>
                    <w:tl2br w:val="nil"/>
                    <w:tr2bl w:val="nil"/>
                  </w:tcBorders>
                  <w:vAlign w:val="center"/>
                </w:tcPr>
                <w:p w14:paraId="6FB20C6E">
                  <w:pPr>
                    <w:pStyle w:val="38"/>
                    <w:bidi w:val="0"/>
                    <w:ind w:left="0" w:leftChars="0" w:right="0" w:rightChars="0" w:firstLine="0" w:firstLineChars="0"/>
                    <w:jc w:val="center"/>
                    <w:rPr>
                      <w:b/>
                      <w:bCs/>
                    </w:rPr>
                  </w:pPr>
                  <w:r>
                    <w:rPr>
                      <w:b/>
                      <w:bCs/>
                    </w:rPr>
                    <w:t>适用范围</w:t>
                  </w:r>
                </w:p>
              </w:tc>
              <w:tc>
                <w:tcPr>
                  <w:tcW w:w="2336" w:type="dxa"/>
                  <w:tcBorders>
                    <w:tl2br w:val="nil"/>
                    <w:tr2bl w:val="nil"/>
                  </w:tcBorders>
                  <w:vAlign w:val="center"/>
                </w:tcPr>
                <w:p w14:paraId="237BE115">
                  <w:pPr>
                    <w:pStyle w:val="38"/>
                    <w:bidi w:val="0"/>
                    <w:ind w:left="0" w:leftChars="0" w:right="0" w:rightChars="0" w:firstLine="0" w:firstLineChars="0"/>
                    <w:jc w:val="center"/>
                    <w:rPr>
                      <w:b/>
                      <w:bCs/>
                    </w:rPr>
                  </w:pPr>
                  <w:r>
                    <w:rPr>
                      <w:b/>
                      <w:bCs/>
                    </w:rPr>
                    <w:t>优点</w:t>
                  </w:r>
                </w:p>
              </w:tc>
              <w:tc>
                <w:tcPr>
                  <w:tcW w:w="2429" w:type="dxa"/>
                  <w:tcBorders>
                    <w:tl2br w:val="nil"/>
                    <w:tr2bl w:val="nil"/>
                  </w:tcBorders>
                  <w:vAlign w:val="center"/>
                </w:tcPr>
                <w:p w14:paraId="5990559D">
                  <w:pPr>
                    <w:pStyle w:val="38"/>
                    <w:bidi w:val="0"/>
                    <w:ind w:left="0" w:leftChars="0" w:right="0" w:rightChars="0" w:firstLine="0" w:firstLineChars="0"/>
                    <w:jc w:val="center"/>
                    <w:rPr>
                      <w:b/>
                      <w:bCs/>
                    </w:rPr>
                  </w:pPr>
                  <w:r>
                    <w:rPr>
                      <w:b/>
                      <w:bCs/>
                    </w:rPr>
                    <w:t>缺点</w:t>
                  </w:r>
                </w:p>
              </w:tc>
            </w:tr>
            <w:tr w14:paraId="61461F3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85" w:type="dxa"/>
                  <w:tcBorders>
                    <w:tl2br w:val="nil"/>
                    <w:tr2bl w:val="nil"/>
                  </w:tcBorders>
                  <w:vAlign w:val="center"/>
                </w:tcPr>
                <w:p w14:paraId="0E2F02E4">
                  <w:pPr>
                    <w:pStyle w:val="38"/>
                    <w:bidi w:val="0"/>
                    <w:ind w:left="0" w:leftChars="0" w:right="0" w:rightChars="0" w:firstLine="0" w:firstLineChars="0"/>
                    <w:jc w:val="center"/>
                  </w:pPr>
                  <w:r>
                    <w:t>移动式抓斗格栅</w:t>
                  </w:r>
                </w:p>
              </w:tc>
              <w:tc>
                <w:tcPr>
                  <w:tcW w:w="2573" w:type="dxa"/>
                  <w:tcBorders>
                    <w:tl2br w:val="nil"/>
                    <w:tr2bl w:val="nil"/>
                  </w:tcBorders>
                  <w:vAlign w:val="center"/>
                </w:tcPr>
                <w:p w14:paraId="51880D32">
                  <w:pPr>
                    <w:pStyle w:val="38"/>
                    <w:bidi w:val="0"/>
                    <w:ind w:left="0" w:leftChars="0" w:right="0" w:rightChars="0" w:firstLine="0" w:firstLineChars="0"/>
                    <w:jc w:val="center"/>
                  </w:pPr>
                  <w:r>
                    <w:t>深度不大的中小型格栅，主要清除水中的粗大漂浮物</w:t>
                  </w:r>
                </w:p>
              </w:tc>
              <w:tc>
                <w:tcPr>
                  <w:tcW w:w="2336" w:type="dxa"/>
                  <w:tcBorders>
                    <w:tl2br w:val="nil"/>
                    <w:tr2bl w:val="nil"/>
                  </w:tcBorders>
                  <w:vAlign w:val="center"/>
                </w:tcPr>
                <w:p w14:paraId="36A91F4E">
                  <w:pPr>
                    <w:pStyle w:val="38"/>
                    <w:bidi w:val="0"/>
                    <w:ind w:left="0" w:leftChars="0" w:right="0" w:rightChars="0" w:firstLine="0" w:firstLineChars="0"/>
                    <w:jc w:val="center"/>
                  </w:pPr>
                  <w:r>
                    <w:t>无永久性浸泡部件，作业面积广</w:t>
                  </w:r>
                </w:p>
              </w:tc>
              <w:tc>
                <w:tcPr>
                  <w:tcW w:w="2429" w:type="dxa"/>
                  <w:tcBorders>
                    <w:tl2br w:val="nil"/>
                    <w:tr2bl w:val="nil"/>
                  </w:tcBorders>
                  <w:vAlign w:val="center"/>
                </w:tcPr>
                <w:p w14:paraId="42B96FD3">
                  <w:pPr>
                    <w:pStyle w:val="38"/>
                    <w:bidi w:val="0"/>
                    <w:ind w:left="0" w:leftChars="0" w:right="0" w:rightChars="0" w:firstLine="0" w:firstLineChars="0"/>
                    <w:jc w:val="center"/>
                  </w:pPr>
                  <w:r>
                    <w:t>效率低</w:t>
                  </w:r>
                </w:p>
              </w:tc>
            </w:tr>
            <w:tr w14:paraId="2237BCC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85" w:type="dxa"/>
                  <w:tcBorders>
                    <w:tl2br w:val="nil"/>
                    <w:tr2bl w:val="nil"/>
                  </w:tcBorders>
                  <w:vAlign w:val="center"/>
                </w:tcPr>
                <w:p w14:paraId="19DA8A93">
                  <w:pPr>
                    <w:pStyle w:val="38"/>
                    <w:bidi w:val="0"/>
                    <w:ind w:left="0" w:leftChars="0" w:right="0" w:rightChars="0" w:firstLine="0" w:firstLineChars="0"/>
                    <w:jc w:val="center"/>
                  </w:pPr>
                  <w:r>
                    <w:t>粉碎型</w:t>
                  </w:r>
                </w:p>
              </w:tc>
              <w:tc>
                <w:tcPr>
                  <w:tcW w:w="2573" w:type="dxa"/>
                  <w:tcBorders>
                    <w:tl2br w:val="nil"/>
                    <w:tr2bl w:val="nil"/>
                  </w:tcBorders>
                  <w:vAlign w:val="center"/>
                </w:tcPr>
                <w:p w14:paraId="7C8050D0">
                  <w:pPr>
                    <w:pStyle w:val="38"/>
                    <w:bidi w:val="0"/>
                    <w:ind w:left="0" w:leftChars="0" w:right="0" w:rightChars="0" w:firstLine="0" w:firstLineChars="0"/>
                    <w:jc w:val="center"/>
                  </w:pPr>
                  <w:r>
                    <w:t>适用于地埋式泵站、污水、污水管道，能将污水中的大体积固体废渣粉碎成细小颗粒，随污水流走。</w:t>
                  </w:r>
                </w:p>
              </w:tc>
              <w:tc>
                <w:tcPr>
                  <w:tcW w:w="2336" w:type="dxa"/>
                  <w:tcBorders>
                    <w:tl2br w:val="nil"/>
                    <w:tr2bl w:val="nil"/>
                  </w:tcBorders>
                  <w:vAlign w:val="center"/>
                </w:tcPr>
                <w:p w14:paraId="142AD422">
                  <w:pPr>
                    <w:pStyle w:val="38"/>
                    <w:bidi w:val="0"/>
                    <w:ind w:left="0" w:leftChars="0" w:right="0" w:rightChars="0" w:firstLine="0" w:firstLineChars="0"/>
                    <w:jc w:val="center"/>
                  </w:pPr>
                  <w:r>
                    <w:t>地面无多余构筑物，破碎效果好，运行安全可靠，稳定的水头损耗。</w:t>
                  </w:r>
                </w:p>
              </w:tc>
              <w:tc>
                <w:tcPr>
                  <w:tcW w:w="2429" w:type="dxa"/>
                  <w:tcBorders>
                    <w:tl2br w:val="nil"/>
                    <w:tr2bl w:val="nil"/>
                  </w:tcBorders>
                  <w:vAlign w:val="center"/>
                </w:tcPr>
                <w:p w14:paraId="65C207B4">
                  <w:pPr>
                    <w:pStyle w:val="38"/>
                    <w:bidi w:val="0"/>
                    <w:ind w:left="0" w:leftChars="0" w:right="0" w:rightChars="0" w:firstLine="0" w:firstLineChars="0"/>
                    <w:jc w:val="center"/>
                  </w:pPr>
                  <w:r>
                    <w:t>刀头磨损，增加后端细格栅压力</w:t>
                  </w:r>
                </w:p>
              </w:tc>
            </w:tr>
            <w:tr w14:paraId="6A6617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85" w:type="dxa"/>
                  <w:tcBorders>
                    <w:tl2br w:val="nil"/>
                    <w:tr2bl w:val="nil"/>
                  </w:tcBorders>
                  <w:vAlign w:val="center"/>
                </w:tcPr>
                <w:p w14:paraId="58227E1A">
                  <w:pPr>
                    <w:pStyle w:val="38"/>
                    <w:bidi w:val="0"/>
                    <w:ind w:left="0" w:leftChars="0" w:right="0" w:rightChars="0" w:firstLine="0" w:firstLineChars="0"/>
                    <w:jc w:val="center"/>
                  </w:pPr>
                  <w:r>
                    <w:t>钢丝绳牵引式</w:t>
                  </w:r>
                </w:p>
              </w:tc>
              <w:tc>
                <w:tcPr>
                  <w:tcW w:w="2573" w:type="dxa"/>
                  <w:tcBorders>
                    <w:tl2br w:val="nil"/>
                    <w:tr2bl w:val="nil"/>
                  </w:tcBorders>
                  <w:vAlign w:val="center"/>
                </w:tcPr>
                <w:p w14:paraId="681B122D">
                  <w:pPr>
                    <w:pStyle w:val="38"/>
                    <w:bidi w:val="0"/>
                    <w:ind w:left="0" w:leftChars="0" w:right="0" w:rightChars="0" w:firstLine="0" w:firstLineChars="0"/>
                    <w:jc w:val="center"/>
                  </w:pPr>
                  <w:r>
                    <w:t>固定式适用于中小型格栅，移动式适用于宽大格栅</w:t>
                  </w:r>
                </w:p>
              </w:tc>
              <w:tc>
                <w:tcPr>
                  <w:tcW w:w="2336" w:type="dxa"/>
                  <w:tcBorders>
                    <w:tl2br w:val="nil"/>
                    <w:tr2bl w:val="nil"/>
                  </w:tcBorders>
                  <w:vAlign w:val="center"/>
                </w:tcPr>
                <w:p w14:paraId="163636F4">
                  <w:pPr>
                    <w:pStyle w:val="38"/>
                    <w:bidi w:val="0"/>
                    <w:ind w:left="0" w:leftChars="0" w:right="0" w:rightChars="0" w:firstLine="0" w:firstLineChars="0"/>
                    <w:jc w:val="center"/>
                  </w:pPr>
                  <w:r>
                    <w:t>适用范围广</w:t>
                  </w:r>
                </w:p>
              </w:tc>
              <w:tc>
                <w:tcPr>
                  <w:tcW w:w="2429" w:type="dxa"/>
                  <w:tcBorders>
                    <w:tl2br w:val="nil"/>
                    <w:tr2bl w:val="nil"/>
                  </w:tcBorders>
                  <w:vAlign w:val="center"/>
                </w:tcPr>
                <w:p w14:paraId="1A29EDC7">
                  <w:pPr>
                    <w:pStyle w:val="38"/>
                    <w:bidi w:val="0"/>
                    <w:ind w:left="0" w:leftChars="0" w:right="0" w:rightChars="0" w:firstLine="0" w:firstLineChars="0"/>
                    <w:jc w:val="center"/>
                  </w:pPr>
                  <w:r>
                    <w:t>有水下固定部件的设备，维护检修需停水</w:t>
                  </w:r>
                </w:p>
              </w:tc>
            </w:tr>
            <w:tr w14:paraId="733C05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85" w:type="dxa"/>
                  <w:tcBorders>
                    <w:tl2br w:val="nil"/>
                    <w:tr2bl w:val="nil"/>
                  </w:tcBorders>
                  <w:vAlign w:val="center"/>
                </w:tcPr>
                <w:p w14:paraId="0D5FD754">
                  <w:pPr>
                    <w:pStyle w:val="38"/>
                    <w:bidi w:val="0"/>
                    <w:ind w:left="0" w:leftChars="0" w:right="0" w:rightChars="0" w:firstLine="0" w:firstLineChars="0"/>
                    <w:jc w:val="center"/>
                  </w:pPr>
                  <w:r>
                    <w:t>回转式格栅</w:t>
                  </w:r>
                </w:p>
              </w:tc>
              <w:tc>
                <w:tcPr>
                  <w:tcW w:w="2573" w:type="dxa"/>
                  <w:tcBorders>
                    <w:tl2br w:val="nil"/>
                    <w:tr2bl w:val="nil"/>
                  </w:tcBorders>
                  <w:vAlign w:val="center"/>
                </w:tcPr>
                <w:p w14:paraId="0B715B9B">
                  <w:pPr>
                    <w:pStyle w:val="38"/>
                    <w:bidi w:val="0"/>
                    <w:ind w:left="0" w:leftChars="0" w:right="0" w:rightChars="0" w:firstLine="0" w:firstLineChars="0"/>
                    <w:jc w:val="center"/>
                  </w:pPr>
                  <w:r>
                    <w:t>适用于生活污水处理厂、工业废水处理厂等大中型污水处理工程。</w:t>
                  </w:r>
                </w:p>
              </w:tc>
              <w:tc>
                <w:tcPr>
                  <w:tcW w:w="2336" w:type="dxa"/>
                  <w:tcBorders>
                    <w:tl2br w:val="nil"/>
                    <w:tr2bl w:val="nil"/>
                  </w:tcBorders>
                  <w:vAlign w:val="center"/>
                </w:tcPr>
                <w:p w14:paraId="05C94D68">
                  <w:pPr>
                    <w:pStyle w:val="38"/>
                    <w:bidi w:val="0"/>
                    <w:ind w:left="0" w:leftChars="0" w:right="0" w:rightChars="0" w:firstLine="0" w:firstLineChars="0"/>
                    <w:jc w:val="center"/>
                  </w:pPr>
                  <w:r>
                    <w:t>结构简单，运行稳定，维护方便，使用寿命长。</w:t>
                  </w:r>
                </w:p>
              </w:tc>
              <w:tc>
                <w:tcPr>
                  <w:tcW w:w="2429" w:type="dxa"/>
                  <w:tcBorders>
                    <w:tl2br w:val="nil"/>
                    <w:tr2bl w:val="nil"/>
                  </w:tcBorders>
                  <w:vAlign w:val="center"/>
                </w:tcPr>
                <w:p w14:paraId="2E8A38FC">
                  <w:pPr>
                    <w:pStyle w:val="38"/>
                    <w:bidi w:val="0"/>
                    <w:ind w:left="0" w:leftChars="0" w:right="0" w:rightChars="0" w:firstLine="0" w:firstLineChars="0"/>
                    <w:jc w:val="center"/>
                  </w:pPr>
                  <w:r>
                    <w:t>自动化程度高，操作简便，处理效率高，能耗低。</w:t>
                  </w:r>
                </w:p>
              </w:tc>
            </w:tr>
            <w:tr w14:paraId="4298AE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85" w:type="dxa"/>
                  <w:tcBorders>
                    <w:tl2br w:val="nil"/>
                    <w:tr2bl w:val="nil"/>
                  </w:tcBorders>
                  <w:vAlign w:val="center"/>
                </w:tcPr>
                <w:p w14:paraId="7549E6EA">
                  <w:pPr>
                    <w:pStyle w:val="38"/>
                    <w:bidi w:val="0"/>
                    <w:ind w:left="0" w:leftChars="0" w:right="0" w:rightChars="0" w:firstLine="0" w:firstLineChars="0"/>
                    <w:jc w:val="center"/>
                  </w:pPr>
                  <w:r>
                    <w:t>旋转式（转鼓式）</w:t>
                  </w:r>
                </w:p>
              </w:tc>
              <w:tc>
                <w:tcPr>
                  <w:tcW w:w="2573" w:type="dxa"/>
                  <w:tcBorders>
                    <w:tl2br w:val="nil"/>
                    <w:tr2bl w:val="nil"/>
                  </w:tcBorders>
                  <w:vAlign w:val="center"/>
                </w:tcPr>
                <w:p w14:paraId="27E91052">
                  <w:pPr>
                    <w:pStyle w:val="38"/>
                    <w:bidi w:val="0"/>
                    <w:ind w:left="0" w:leftChars="0" w:right="0" w:rightChars="0" w:firstLine="0" w:firstLineChars="0"/>
                    <w:jc w:val="center"/>
                  </w:pPr>
                  <w:r>
                    <w:t>适用于生活污水处理厂、工业废水处理厂等中小型污水处理工程。</w:t>
                  </w:r>
                </w:p>
              </w:tc>
              <w:tc>
                <w:tcPr>
                  <w:tcW w:w="2336" w:type="dxa"/>
                  <w:tcBorders>
                    <w:tl2br w:val="nil"/>
                    <w:tr2bl w:val="nil"/>
                  </w:tcBorders>
                  <w:vAlign w:val="center"/>
                </w:tcPr>
                <w:p w14:paraId="06308E14">
                  <w:pPr>
                    <w:pStyle w:val="38"/>
                    <w:bidi w:val="0"/>
                    <w:ind w:left="0" w:leftChars="0" w:right="0" w:rightChars="0" w:firstLine="0" w:firstLineChars="0"/>
                    <w:jc w:val="center"/>
                  </w:pPr>
                  <w:r>
                    <w:t>结构紧凑，占地面积小，易于安装和维护。</w:t>
                  </w:r>
                </w:p>
              </w:tc>
              <w:tc>
                <w:tcPr>
                  <w:tcW w:w="2429" w:type="dxa"/>
                  <w:tcBorders>
                    <w:tl2br w:val="nil"/>
                    <w:tr2bl w:val="nil"/>
                  </w:tcBorders>
                  <w:vAlign w:val="center"/>
                </w:tcPr>
                <w:p w14:paraId="12AE8263">
                  <w:pPr>
                    <w:pStyle w:val="38"/>
                    <w:bidi w:val="0"/>
                    <w:ind w:left="0" w:leftChars="0" w:right="0" w:rightChars="0" w:firstLine="0" w:firstLineChars="0"/>
                    <w:jc w:val="center"/>
                  </w:pPr>
                  <w:r>
                    <w:t>制造成本较高，对安装精度要求较高，不适用于高浓度、高纤维的流体</w:t>
                  </w:r>
                </w:p>
              </w:tc>
            </w:tr>
          </w:tbl>
          <w:p w14:paraId="3EA088B3">
            <w:pPr>
              <w:pStyle w:val="36"/>
              <w:ind w:firstLine="480"/>
              <w:rPr>
                <w:rFonts w:hint="default"/>
              </w:rPr>
            </w:pPr>
            <w:r>
              <w:rPr>
                <w:rFonts w:hint="default"/>
              </w:rPr>
              <w:t>根据上表中所列格栅的优缺点，污水处理厂建议</w:t>
            </w:r>
            <w:r>
              <w:rPr>
                <w:rFonts w:hint="eastAsia"/>
                <w:lang w:eastAsia="zh-CN"/>
              </w:rPr>
              <w:t>选用</w:t>
            </w:r>
            <w:r>
              <w:rPr>
                <w:rFonts w:hint="default"/>
              </w:rPr>
              <w:t>粉碎型及回转式的格栅类型。</w:t>
            </w:r>
          </w:p>
          <w:p w14:paraId="7910F25F">
            <w:pPr>
              <w:pStyle w:val="36"/>
              <w:ind w:firstLine="480"/>
              <w:rPr>
                <w:rFonts w:hint="default"/>
                <w:b/>
                <w:bCs/>
              </w:rPr>
            </w:pPr>
            <w:r>
              <w:rPr>
                <w:rFonts w:hint="eastAsia"/>
                <w:b/>
                <w:bCs/>
                <w:lang w:val="en-US" w:eastAsia="zh-CN"/>
              </w:rPr>
              <w:t>3、</w:t>
            </w:r>
            <w:r>
              <w:rPr>
                <w:rFonts w:hint="default"/>
                <w:b/>
                <w:bCs/>
              </w:rPr>
              <w:t>二级处理工艺论证</w:t>
            </w:r>
          </w:p>
          <w:p w14:paraId="65AEF730">
            <w:pPr>
              <w:pStyle w:val="36"/>
              <w:bidi w:val="0"/>
              <w:rPr>
                <w:rFonts w:hint="default"/>
              </w:rPr>
            </w:pPr>
            <w:r>
              <w:rPr>
                <w:rFonts w:hint="default"/>
              </w:rPr>
              <w:t>由于本项目要求二级处理需具备脱氮除磷功能，因此下面只选择具备脱氮除磷功能的二级工艺进行介绍。</w:t>
            </w:r>
          </w:p>
          <w:p w14:paraId="11CE9216">
            <w:pPr>
              <w:pStyle w:val="36"/>
              <w:bidi w:val="0"/>
              <w:rPr>
                <w:rFonts w:hint="default"/>
              </w:rPr>
            </w:pPr>
            <w:r>
              <w:rPr>
                <w:rFonts w:hint="default"/>
              </w:rPr>
              <w:t>所有生物除磷脱氮工艺都包含厌氧、缺氧、好氧三个不同过程的交替循环。</w:t>
            </w:r>
            <w:r>
              <w:t>应用于城市污水厂的悬浮性活性污泥法污水处理工艺主要有三个系列：（1）A2/O系列；（2）氧化沟系列；（3）序批式反应器（SBR）系列。各个系列不断地发展、改进，形成了目前比较典型的工艺有：如A2/O工艺、改良A2/O工艺、倒置型A2/O工艺、UCT工艺、卡罗塞尔-2000氧化沟工艺、三沟式T型氧化沟工艺、ORBAL氧化沟工艺、UNITANK工艺、CAST工艺等。</w:t>
            </w:r>
          </w:p>
          <w:p w14:paraId="7A967257">
            <w:pPr>
              <w:pStyle w:val="36"/>
              <w:ind w:firstLine="480"/>
              <w:rPr>
                <w:rFonts w:hint="default"/>
              </w:rPr>
            </w:pPr>
            <w:r>
              <w:rPr>
                <w:rFonts w:hint="eastAsia"/>
                <w:lang w:eastAsia="zh-CN"/>
              </w:rPr>
              <w:t>（</w:t>
            </w:r>
            <w:r>
              <w:rPr>
                <w:rFonts w:hint="eastAsia"/>
                <w:lang w:val="en-US" w:eastAsia="zh-CN"/>
              </w:rPr>
              <w:t>1</w:t>
            </w:r>
            <w:r>
              <w:rPr>
                <w:rFonts w:hint="eastAsia"/>
                <w:lang w:eastAsia="zh-CN"/>
              </w:rPr>
              <w:t>）</w:t>
            </w:r>
            <w:r>
              <w:rPr>
                <w:rFonts w:hint="default"/>
              </w:rPr>
              <w:t>A2/O系列</w:t>
            </w:r>
          </w:p>
          <w:p w14:paraId="409FD2BC">
            <w:pPr>
              <w:pStyle w:val="36"/>
              <w:ind w:firstLine="480"/>
              <w:rPr>
                <w:rFonts w:hint="default"/>
              </w:rPr>
            </w:pPr>
            <w:r>
              <w:rPr>
                <w:rFonts w:hint="eastAsia" w:ascii="宋体" w:hAnsi="宋体" w:eastAsia="宋体" w:cs="宋体"/>
              </w:rPr>
              <w:t>①</w:t>
            </w:r>
            <w:r>
              <w:rPr>
                <w:rFonts w:hint="default"/>
              </w:rPr>
              <w:t>传统的A2/O法</w:t>
            </w:r>
          </w:p>
          <w:p w14:paraId="2DD89396">
            <w:pPr>
              <w:pStyle w:val="36"/>
              <w:ind w:firstLine="480"/>
              <w:rPr>
                <w:rFonts w:hint="default"/>
              </w:rPr>
            </w:pPr>
            <w:r>
              <w:rPr>
                <w:rFonts w:hint="default"/>
              </w:rPr>
              <w:t>A2/O亦称A-A-O工艺，是英文Anaerobic-Anoxic-Oxic第一个字母的简称。本法是在70年代，由美国的一些专家在厌氧-好氧法脱氮工艺的基础上开发的，其宗旨是开发一项能够同步脱氮除磷的污水处理工艺，是传统活性污泥法的改进型。厌氧段原废水进入，同步进入的还有从沉淀池排出的含磷回流污泥，主要功能是释放磷；缺氧段的首要功能是脱氮，硝态氮是通过内循环由好氧段送来的，循环的混合液流量较大，一般为废水流量的2倍；好氧段（曝气池）单元是多功能的，去除BOD、硝化和吸收磷等各项反应均在本反应器内进行，混合液中含有NO3--N，污泥中含有过剩的磷，而废水中的BOD或COD则得到去除，流量为2Q的混合液从这里回流到缺氧段。</w:t>
            </w:r>
          </w:p>
          <w:p w14:paraId="3F84C3B8">
            <w:pPr>
              <w:pStyle w:val="36"/>
              <w:ind w:firstLine="480"/>
              <w:rPr>
                <w:rFonts w:hint="default"/>
              </w:rPr>
            </w:pPr>
            <w:r>
              <w:rPr>
                <w:rFonts w:hint="default"/>
              </w:rPr>
              <w:t>该工艺是最简单的除磷脱氮工艺。但由于厌氧区居前，回流污泥全部进入厌氧池，会将硝酸盐和溶解氧带入厌氧池进行脱氮，污泥反硝化细菌在厌氧条件下以有机物为碳源进行反硝化，厌氧池起到了前置反硝化脱氮池的功能，也使得厌氧池磷释放的有效容积减少，影响除磷效果；缺氧区位于系统中部，反硝化在碳源分配上居于不利地位，因而影响了系统的脱氮效果；由于存在内循环，常规工艺系统所排放的剩余污泥中实际只有一少部分经历了完整</w:t>
            </w:r>
            <w:r>
              <w:rPr>
                <w:rFonts w:hint="eastAsia"/>
                <w:lang w:eastAsia="zh-CN"/>
              </w:rPr>
              <w:t>地放</w:t>
            </w:r>
            <w:r>
              <w:rPr>
                <w:rFonts w:hint="default"/>
              </w:rPr>
              <w:t>磷、吸磷过程，其余则基本上未经厌氧状态而直接由缺氧区进入好氧区，这对于系统除磷是不利的。因此该工艺很难取得脱氮、除磷双赢的效果。下图为A2/O工艺流程框图。</w:t>
            </w:r>
          </w:p>
          <w:p w14:paraId="22AA335A">
            <w:pPr>
              <w:pStyle w:val="38"/>
              <w:bidi w:val="0"/>
              <w:rPr>
                <w:rFonts w:hint="default"/>
              </w:rPr>
            </w:pPr>
            <w:r>
              <w:drawing>
                <wp:inline distT="0" distB="0" distL="0" distR="0">
                  <wp:extent cx="3947160" cy="1235710"/>
                  <wp:effectExtent l="12700" t="12700" r="21590" b="2794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9"/>
                          <a:stretch>
                            <a:fillRect/>
                          </a:stretch>
                        </pic:blipFill>
                        <pic:spPr>
                          <a:xfrm>
                            <a:off x="0" y="0"/>
                            <a:ext cx="3947160" cy="1235710"/>
                          </a:xfrm>
                          <a:prstGeom prst="rect">
                            <a:avLst/>
                          </a:prstGeom>
                          <a:ln w="12700">
                            <a:solidFill>
                              <a:schemeClr val="tx1"/>
                            </a:solidFill>
                          </a:ln>
                        </pic:spPr>
                      </pic:pic>
                    </a:graphicData>
                  </a:graphic>
                </wp:inline>
              </w:drawing>
            </w:r>
          </w:p>
          <w:p w14:paraId="7B49CDD5">
            <w:pPr>
              <w:pStyle w:val="53"/>
              <w:bidi w:val="0"/>
              <w:rPr>
                <w:rFonts w:hint="eastAsia"/>
                <w:lang w:val="en-US" w:eastAsia="zh-CN"/>
              </w:rPr>
            </w:pPr>
            <w:r>
              <w:rPr>
                <w:rFonts w:hint="default"/>
              </w:rPr>
              <w:t>A2/O工艺流程框图</w:t>
            </w:r>
          </w:p>
          <w:p w14:paraId="68B37478">
            <w:pPr>
              <w:pStyle w:val="36"/>
              <w:ind w:firstLine="480"/>
              <w:rPr>
                <w:rFonts w:hint="default"/>
              </w:rPr>
            </w:pPr>
            <w:r>
              <w:rPr>
                <w:rFonts w:hint="eastAsia" w:ascii="宋体" w:hAnsi="宋体" w:eastAsia="宋体" w:cs="宋体"/>
              </w:rPr>
              <w:t>②</w:t>
            </w:r>
            <w:r>
              <w:rPr>
                <w:rFonts w:hint="default"/>
              </w:rPr>
              <w:t>改良型A2/O法</w:t>
            </w:r>
          </w:p>
          <w:p w14:paraId="4422141C">
            <w:pPr>
              <w:pStyle w:val="36"/>
              <w:ind w:firstLine="480"/>
              <w:rPr>
                <w:rFonts w:hint="default"/>
              </w:rPr>
            </w:pPr>
            <w:r>
              <w:rPr>
                <w:rFonts w:hint="default"/>
              </w:rPr>
              <w:t>在普通的A2/O工艺中，回流污泥中的硝态氮势必会优先夺取污水中的易生物降解的有机物，实现反硝化，对除磷造成不利影响。当污水中的C/N比值较高时，有机物中的易降解组分多，即使回流污泥中的硝态氮耗去一部分易生物降解有机物，仍有足够的易降解有机物供聚磷菌利用，不致影响除磷效果。但根据相关污水处理厂的实测进水资料，有机物含量由于排水体制等问题一般比较低，即C/N比值较低，有机物中易降解组分不多，回流污泥中的硝态氮多，除磷的干扰效果明显；同时，回流污泥带入的溶解氧也在一定程度上破坏了厌氧区的厌氧环境。因此如何降低回流污泥中的硝态氮和溶解氧对除磷的影响成为一个关键的技术问题。</w:t>
            </w:r>
          </w:p>
          <w:p w14:paraId="51D6D934">
            <w:pPr>
              <w:pStyle w:val="36"/>
              <w:ind w:firstLine="480"/>
              <w:rPr>
                <w:rFonts w:hint="default"/>
              </w:rPr>
            </w:pPr>
            <w:r>
              <w:rPr>
                <w:rFonts w:hint="default"/>
              </w:rPr>
              <w:t>改良型A2/O工艺就是将缺氧区一分为二，在厌氧区前设置第一缺氧区（或称预缺氧区），回流污泥首先进入第一缺氧区进行反硝化脱氮和除氧，然后再进入厌氧区释磷。同时为了提高厌氧区的C/P值，将80%左右的污水流入厌氧区，其余约20%左右的污水流入第一缺氧区。因此比较好地解决了脱氮、除磷中存在的矛盾。下图为改良A2/O工艺流程框图。</w:t>
            </w:r>
          </w:p>
          <w:p w14:paraId="0F095CE8">
            <w:pPr>
              <w:pStyle w:val="38"/>
              <w:bidi w:val="0"/>
              <w:rPr>
                <w:rFonts w:hint="default"/>
              </w:rPr>
            </w:pPr>
            <w:r>
              <w:drawing>
                <wp:inline distT="0" distB="0" distL="0" distR="0">
                  <wp:extent cx="4354195" cy="1403350"/>
                  <wp:effectExtent l="0" t="0" r="8255" b="635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0"/>
                          <a:stretch>
                            <a:fillRect/>
                          </a:stretch>
                        </pic:blipFill>
                        <pic:spPr>
                          <a:xfrm>
                            <a:off x="0" y="0"/>
                            <a:ext cx="4354195" cy="1403350"/>
                          </a:xfrm>
                          <a:prstGeom prst="rect">
                            <a:avLst/>
                          </a:prstGeom>
                        </pic:spPr>
                      </pic:pic>
                    </a:graphicData>
                  </a:graphic>
                </wp:inline>
              </w:drawing>
            </w:r>
          </w:p>
          <w:p w14:paraId="1AB80A28">
            <w:pPr>
              <w:pStyle w:val="53"/>
              <w:bidi w:val="0"/>
              <w:rPr>
                <w:rFonts w:hint="default"/>
              </w:rPr>
            </w:pPr>
            <w:r>
              <w:rPr>
                <w:rFonts w:hint="default"/>
              </w:rPr>
              <w:t>改良型A2/O工艺流程框图</w:t>
            </w:r>
          </w:p>
          <w:p w14:paraId="3DCB6C8F">
            <w:pPr>
              <w:pStyle w:val="36"/>
              <w:ind w:firstLine="480"/>
              <w:rPr>
                <w:rFonts w:hint="default"/>
              </w:rPr>
            </w:pPr>
            <w:r>
              <w:rPr>
                <w:rFonts w:hint="default"/>
              </w:rPr>
              <w:t>改良A2/O工艺虽然解决了传统A2/O工艺中厌氧段回流硝酸盐对放磷的影响，但仍有缺点：由于缺氧区位于系统中部，反硝化在碳源分配上居于不利地位，因而影响了系统的脱氮效果；由于存在内循环，剩余污泥中实际上只有一少部分经历了完整</w:t>
            </w:r>
            <w:r>
              <w:rPr>
                <w:rFonts w:hint="eastAsia"/>
                <w:lang w:eastAsia="zh-CN"/>
              </w:rPr>
              <w:t>地放</w:t>
            </w:r>
            <w:r>
              <w:rPr>
                <w:rFonts w:hint="default"/>
              </w:rPr>
              <w:t>磷、吸磷过程，其余则基本上未经厌氧状态而直接由缺氧区进入好氧区。</w:t>
            </w:r>
          </w:p>
          <w:p w14:paraId="6EA76657">
            <w:pPr>
              <w:pStyle w:val="36"/>
              <w:ind w:firstLine="480"/>
              <w:rPr>
                <w:rFonts w:hint="default"/>
              </w:rPr>
            </w:pPr>
            <w:r>
              <w:rPr>
                <w:rFonts w:hint="eastAsia" w:ascii="宋体" w:hAnsi="宋体" w:eastAsia="宋体" w:cs="宋体"/>
              </w:rPr>
              <w:t>③</w:t>
            </w:r>
            <w:r>
              <w:rPr>
                <w:rFonts w:hint="default"/>
              </w:rPr>
              <w:t>倒置型A2/O法</w:t>
            </w:r>
          </w:p>
          <w:p w14:paraId="7C48E1D3">
            <w:pPr>
              <w:pStyle w:val="36"/>
              <w:ind w:firstLine="480"/>
              <w:rPr>
                <w:rFonts w:hint="default"/>
              </w:rPr>
            </w:pPr>
            <w:r>
              <w:rPr>
                <w:rFonts w:hint="default"/>
              </w:rPr>
              <w:t>该工艺的特点是省去了混合液内回流，适当加大污泥回流比。缺氧池位于工艺的首端，使得反硝化可优先获得碳源，故进一步加强了系统的脱氮能力；聚磷菌厌氧释磷后直接进入生化效率较高的好氧环境，其在厌氧条件下形成的吸磷能力可以得到更充分的利用，具有“饥饿效应”；允许所有参与回流的污泥全部经历完整的释磷、吸磷过程，故在除磷方面具有“群体效应”。下图为倒置A2/O工艺流程框图。</w:t>
            </w:r>
          </w:p>
          <w:p w14:paraId="252B6894">
            <w:pPr>
              <w:pStyle w:val="38"/>
              <w:bidi w:val="0"/>
              <w:rPr>
                <w:rFonts w:hint="default"/>
              </w:rPr>
            </w:pPr>
            <w:r>
              <w:drawing>
                <wp:inline distT="0" distB="0" distL="0" distR="0">
                  <wp:extent cx="4407535" cy="1187450"/>
                  <wp:effectExtent l="12700" t="12700" r="18415" b="1905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1"/>
                          <a:stretch>
                            <a:fillRect/>
                          </a:stretch>
                        </pic:blipFill>
                        <pic:spPr>
                          <a:xfrm>
                            <a:off x="0" y="0"/>
                            <a:ext cx="4407535" cy="1187450"/>
                          </a:xfrm>
                          <a:prstGeom prst="rect">
                            <a:avLst/>
                          </a:prstGeom>
                          <a:ln w="12700">
                            <a:solidFill>
                              <a:schemeClr val="tx1"/>
                            </a:solidFill>
                          </a:ln>
                        </pic:spPr>
                      </pic:pic>
                    </a:graphicData>
                  </a:graphic>
                </wp:inline>
              </w:drawing>
            </w:r>
          </w:p>
          <w:p w14:paraId="76DFDA01">
            <w:pPr>
              <w:pStyle w:val="53"/>
              <w:bidi w:val="0"/>
              <w:rPr>
                <w:rFonts w:hint="default"/>
              </w:rPr>
            </w:pPr>
            <w:r>
              <w:rPr>
                <w:rFonts w:hint="default"/>
              </w:rPr>
              <w:t>倒置A2/O工艺流程框图</w:t>
            </w:r>
          </w:p>
          <w:p w14:paraId="0254FC8C">
            <w:pPr>
              <w:pStyle w:val="36"/>
              <w:ind w:firstLine="480"/>
              <w:rPr>
                <w:rFonts w:hint="default"/>
              </w:rPr>
            </w:pPr>
            <w:r>
              <w:rPr>
                <w:rFonts w:hint="default"/>
              </w:rPr>
              <w:t>④UCT工艺</w:t>
            </w:r>
          </w:p>
          <w:p w14:paraId="0F495128">
            <w:pPr>
              <w:pStyle w:val="36"/>
              <w:ind w:firstLine="480"/>
              <w:rPr>
                <w:rFonts w:hint="default"/>
              </w:rPr>
            </w:pPr>
            <w:r>
              <w:rPr>
                <w:rFonts w:hint="default"/>
              </w:rPr>
              <w:t>UCT工艺的主要改进是将污泥回流到缺氧池而不是厌氧池，同时增加从缺氧池出流液到厌氧池的回流r。污泥回流R和混合液回流r中的硝态氮在缺氧池被反硝化，进入厌氧池的缺氧回流r中不再有硝态氮，不会对除磷产生不利影响，较好地解决了脱氮和除磷的矛盾。它的代价是增加从缺氧池出流液到厌氧池的回流，增加了能耗。当污水C/P比值小于20时，UCT工艺的除磷效率明显高于普通A2/O工艺。下图为UCT工艺流程框图。</w:t>
            </w:r>
          </w:p>
          <w:p w14:paraId="09EBD048">
            <w:pPr>
              <w:pStyle w:val="38"/>
              <w:bidi w:val="0"/>
              <w:rPr>
                <w:rFonts w:hint="default"/>
              </w:rPr>
            </w:pPr>
            <w:r>
              <w:drawing>
                <wp:inline distT="0" distB="0" distL="0" distR="0">
                  <wp:extent cx="4271645" cy="1297305"/>
                  <wp:effectExtent l="12700" t="12700" r="20955" b="23495"/>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2"/>
                          <a:stretch>
                            <a:fillRect/>
                          </a:stretch>
                        </pic:blipFill>
                        <pic:spPr>
                          <a:xfrm>
                            <a:off x="0" y="0"/>
                            <a:ext cx="4271645" cy="1297305"/>
                          </a:xfrm>
                          <a:prstGeom prst="rect">
                            <a:avLst/>
                          </a:prstGeom>
                          <a:ln w="12700">
                            <a:solidFill>
                              <a:schemeClr val="tx1"/>
                            </a:solidFill>
                          </a:ln>
                        </pic:spPr>
                      </pic:pic>
                    </a:graphicData>
                  </a:graphic>
                </wp:inline>
              </w:drawing>
            </w:r>
          </w:p>
          <w:p w14:paraId="3AC7411B">
            <w:pPr>
              <w:pStyle w:val="53"/>
              <w:bidi w:val="0"/>
              <w:rPr>
                <w:rFonts w:hint="default"/>
              </w:rPr>
            </w:pPr>
            <w:r>
              <w:rPr>
                <w:rFonts w:hint="default"/>
              </w:rPr>
              <w:t>UCT工艺流程框图</w:t>
            </w:r>
          </w:p>
          <w:p w14:paraId="1CACA268">
            <w:pPr>
              <w:pStyle w:val="36"/>
              <w:ind w:firstLine="480"/>
              <w:rPr>
                <w:rFonts w:hint="default"/>
              </w:rPr>
            </w:pPr>
            <w:r>
              <w:rPr>
                <w:rFonts w:hint="eastAsia"/>
                <w:lang w:eastAsia="zh-CN"/>
              </w:rPr>
              <w:t>（</w:t>
            </w:r>
            <w:r>
              <w:rPr>
                <w:rFonts w:hint="eastAsia"/>
                <w:lang w:val="en-US" w:eastAsia="zh-CN"/>
              </w:rPr>
              <w:t>2</w:t>
            </w:r>
            <w:r>
              <w:rPr>
                <w:rFonts w:hint="eastAsia"/>
                <w:lang w:eastAsia="zh-CN"/>
              </w:rPr>
              <w:t>）</w:t>
            </w:r>
            <w:r>
              <w:rPr>
                <w:rFonts w:hint="default"/>
              </w:rPr>
              <w:t>氧化沟工艺系列</w:t>
            </w:r>
          </w:p>
          <w:p w14:paraId="3DB025C3">
            <w:pPr>
              <w:pStyle w:val="36"/>
              <w:ind w:firstLine="480"/>
              <w:rPr>
                <w:rFonts w:hint="default"/>
              </w:rPr>
            </w:pPr>
            <w:r>
              <w:rPr>
                <w:rFonts w:hint="default"/>
              </w:rPr>
              <w:t>氧化沟又称循环曝气池，是于50年代由荷兰的巴斯维尔所开发的一种污水生物处理技术，属活性污泥法的一种变法。氧化沟的水流特征介于推流式和完全混合之间，抗冲击负荷强，通过控制曝气转刷的开停和转速来控制氧化沟内某池段溶解氧的浓度，形成厌氧、缺氧和好氧区，因此也具有除磷脱氮的功能。氧化沟以其流程简单、管理方便、处理效果好等优点得到了广泛的应用，各种不同类型的氧化沟形式在不断出现，目前在我国应用和推广的氧化沟产品和技术的著名外国公司有：荷兰DHV公司与美国EMICO公司合作开发推出的Carrousel2000型氧化沟，其主要设备是表曝机；美国Envirex公司推出的Orbal氧化沟，由同心的三个</w:t>
            </w:r>
            <w:r>
              <w:rPr>
                <w:rFonts w:hint="eastAsia"/>
                <w:lang w:eastAsia="zh-CN"/>
              </w:rPr>
              <w:t>椭圆形</w:t>
            </w:r>
            <w:r>
              <w:rPr>
                <w:rFonts w:hint="default"/>
              </w:rPr>
              <w:t>沟组成，其主要设备是转碟曝气机。</w:t>
            </w:r>
          </w:p>
          <w:p w14:paraId="6D686D20">
            <w:pPr>
              <w:pStyle w:val="36"/>
              <w:ind w:firstLine="480"/>
              <w:rPr>
                <w:rFonts w:hint="default"/>
              </w:rPr>
            </w:pPr>
            <w:r>
              <w:rPr>
                <w:rFonts w:hint="eastAsia" w:ascii="宋体" w:hAnsi="宋体" w:eastAsia="宋体" w:cs="宋体"/>
              </w:rPr>
              <w:t>①</w:t>
            </w:r>
            <w:r>
              <w:rPr>
                <w:rFonts w:hint="default"/>
              </w:rPr>
              <w:t>卡鲁塞尔2000氧化沟</w:t>
            </w:r>
          </w:p>
          <w:p w14:paraId="7C091447">
            <w:pPr>
              <w:pStyle w:val="36"/>
              <w:ind w:firstLine="480"/>
              <w:rPr>
                <w:rFonts w:hint="default"/>
              </w:rPr>
            </w:pPr>
            <w:r>
              <w:rPr>
                <w:rFonts w:hint="default"/>
              </w:rPr>
              <w:t>在典型卡鲁塞尔系统的基础上的卡鲁塞尔2000氧化沟，可以满足更高的生物脱氮和除磷的功能。该氧化沟的反硝化区占氧化沟体积的15%，在缺氧条件下进水与混合液混合（可通过内部回流控制阀调节）；其余部分为好氧区，可以进行同时硝化/反硝化，也用于磷的富集吸收。氧化沟中配有表曝机，实现沟内水体的推流、混合和充氧。卡鲁塞尔氧化沟的缺点是池深较浅，一般为4.0m，占地面积大，土建费用高。</w:t>
            </w:r>
          </w:p>
          <w:p w14:paraId="5A204ABA">
            <w:pPr>
              <w:pStyle w:val="36"/>
              <w:ind w:firstLine="480"/>
              <w:rPr>
                <w:rFonts w:hint="default"/>
              </w:rPr>
            </w:pPr>
            <w:r>
              <w:rPr>
                <w:rFonts w:hint="eastAsia" w:ascii="宋体" w:hAnsi="宋体" w:eastAsia="宋体" w:cs="宋体"/>
              </w:rPr>
              <w:t>②</w:t>
            </w:r>
            <w:r>
              <w:rPr>
                <w:rFonts w:hint="default"/>
              </w:rPr>
              <w:t>“O”型氧化沟</w:t>
            </w:r>
          </w:p>
          <w:p w14:paraId="594B24C6">
            <w:pPr>
              <w:pStyle w:val="36"/>
              <w:ind w:firstLine="480"/>
              <w:rPr>
                <w:rFonts w:hint="default"/>
              </w:rPr>
            </w:pPr>
            <w:r>
              <w:rPr>
                <w:rFonts w:hint="default"/>
              </w:rPr>
              <w:t>是ORBAL（奥贝尔）氧化沟的简称。该工艺一般是由三个相互嵌套的同心椭圆沟体组成的一个完全混合环形反应池系统。</w:t>
            </w:r>
          </w:p>
          <w:p w14:paraId="09810983">
            <w:pPr>
              <w:pStyle w:val="36"/>
              <w:ind w:firstLine="480"/>
              <w:rPr>
                <w:rFonts w:hint="default"/>
              </w:rPr>
            </w:pPr>
            <w:r>
              <w:rPr>
                <w:rFonts w:hint="default"/>
              </w:rPr>
              <w:t>“O”型氧化沟的特点是从外到内的三条沟的溶解氧浓度由低到高递增，称之为“0、1、2”（外沟溶解氧为零，中沟溶解氧为1mg/L，内沟溶解氧为2mg/L）工艺，由外到内形成厌氧、缺氧及好氧区域，以满足生物除磷脱氮的要求。污水及回流污泥由外沟进入，处理后出水从内沟流入二沉池。</w:t>
            </w:r>
          </w:p>
          <w:p w14:paraId="7C602503">
            <w:pPr>
              <w:pStyle w:val="36"/>
              <w:ind w:firstLine="480"/>
              <w:rPr>
                <w:rFonts w:hint="default"/>
              </w:rPr>
            </w:pPr>
            <w:r>
              <w:rPr>
                <w:rFonts w:hint="default"/>
              </w:rPr>
              <w:t>奥贝尔氧化沟系统设备的关键是它的独特的曝气转碟，该转碟有较大的氧传递效率和良好的混合效率。对于一天中需氧量的波动，可用转碟的浸水深度变化来加以调节。对需氧量的长期变动或突发波动，可直接开关个别组合来对付。遇到意外或事故情况时，可增加转碟的转速。</w:t>
            </w:r>
          </w:p>
          <w:p w14:paraId="40A2399D">
            <w:pPr>
              <w:pStyle w:val="36"/>
              <w:ind w:firstLine="480"/>
              <w:rPr>
                <w:rFonts w:hint="default"/>
              </w:rPr>
            </w:pPr>
            <w:r>
              <w:rPr>
                <w:rFonts w:hint="default"/>
              </w:rPr>
              <w:t>“O”型氧化沟的优点是内沟容积小，只需相对较小的充氧量就可以将溶解氧水平维持在2mg/L水平，容积较大的中沟因溶解氧浓度较低，氧的传质效率较高，充氧效率也较高，外沟为厌氧区域，只需很少的搅拌能量，因此“O”型氧化沟的总能耗较低；在暴雨期间水力负荷增大时，可以将污水由中沟甚至内沟引入，外沟只作“闷曝”，可以避免活性污泥的流失。</w:t>
            </w:r>
          </w:p>
          <w:p w14:paraId="4284D85E">
            <w:pPr>
              <w:pStyle w:val="36"/>
              <w:ind w:firstLine="480"/>
              <w:rPr>
                <w:rFonts w:hint="default"/>
              </w:rPr>
            </w:pPr>
            <w:r>
              <w:rPr>
                <w:rFonts w:hint="default"/>
              </w:rPr>
              <w:t>“O”型氧化沟缺点是从内沟到中沟（或外沟）之间没有回流设施，所以总的脱氮效果会受到一定的影响；外沟虽然是按厌氧池计算，但是“O”型氧化沟是采用转碟作为充氧设备，在厌氧区采用表面搅拌设备，不可避免地会带入相当数量的溶解氧，从而降低了除磷效率；需要设置单独的（专门的）二次沉淀池，占地面积较大。</w:t>
            </w:r>
          </w:p>
          <w:p w14:paraId="7AE3883F">
            <w:pPr>
              <w:pStyle w:val="36"/>
              <w:ind w:firstLine="480"/>
              <w:rPr>
                <w:rFonts w:hint="default"/>
              </w:rPr>
            </w:pPr>
            <w:r>
              <w:rPr>
                <w:rFonts w:hint="eastAsia" w:ascii="宋体" w:hAnsi="宋体" w:eastAsia="宋体" w:cs="宋体"/>
              </w:rPr>
              <w:t>③</w:t>
            </w:r>
            <w:r>
              <w:rPr>
                <w:rFonts w:hint="default"/>
              </w:rPr>
              <w:t>“T”型氧化沟</w:t>
            </w:r>
          </w:p>
          <w:p w14:paraId="3A8BBDD6">
            <w:pPr>
              <w:pStyle w:val="36"/>
              <w:ind w:firstLine="480"/>
              <w:rPr>
                <w:rFonts w:hint="default"/>
              </w:rPr>
            </w:pPr>
            <w:r>
              <w:rPr>
                <w:rFonts w:hint="default"/>
              </w:rPr>
              <w:t>又称三沟式氧化沟，融合缺氧、好氧及沉淀池于一体（其中的两条边沟交替进行反应及沉淀）。流程简洁，具有生物脱氮功能，属于SBR（序批式活性污泥法）的一种，采用连续进水、连续出水的方式运行。自1990年邯郸污水处理厂的“T”型氧化沟投产并被建设部、</w:t>
            </w:r>
            <w:r>
              <w:rPr>
                <w:rFonts w:hint="eastAsia"/>
                <w:lang w:val="en-US" w:eastAsia="zh-CN"/>
              </w:rPr>
              <w:t>原</w:t>
            </w:r>
            <w:r>
              <w:rPr>
                <w:rFonts w:hint="default"/>
              </w:rPr>
              <w:t>国家环保局列为示范厂后，国内采用这种工艺流程的污水处理厂较多。</w:t>
            </w:r>
          </w:p>
          <w:p w14:paraId="013BF137">
            <w:pPr>
              <w:pStyle w:val="36"/>
              <w:ind w:firstLine="480"/>
              <w:rPr>
                <w:rFonts w:hint="default"/>
              </w:rPr>
            </w:pPr>
            <w:r>
              <w:rPr>
                <w:rFonts w:hint="default"/>
              </w:rPr>
              <w:t>“T”型氧化沟的优点在于一体化，能较好地利用土地面积，特别是采取加大沟体深度的措施后，节约用地的效果更为明显；不需混合液回流及活性污泥回流，流程简单、利于管理；采用序批式控制，不同的循环时间设定值可以得到不同的处理效果，根据实际进水水质进行优化，适应性较强；序批式控制，易于实现处理过程的自动控制。</w:t>
            </w:r>
          </w:p>
          <w:p w14:paraId="3790E176">
            <w:pPr>
              <w:pStyle w:val="36"/>
              <w:ind w:firstLine="480"/>
              <w:rPr>
                <w:rFonts w:hint="default"/>
              </w:rPr>
            </w:pPr>
            <w:r>
              <w:rPr>
                <w:rFonts w:hint="default"/>
              </w:rPr>
              <w:t>其缺点是设备台数多，增加了设备的维护工作量；设备利用率低，装机容量大；因为不设专门的沉淀池，排除的剩余污泥浓度低，不利于污泥处理；无专门的厌氧区域，因此生物除磷效果差；因为无回流设施，因此造成连续曝气的中沟的MLSS较边沟低（中沟MLSS浓度的设计值只为边沟的77%，设计运行中还更低），使得整个系统的利用效率很低。</w:t>
            </w:r>
          </w:p>
          <w:p w14:paraId="04193F07">
            <w:pPr>
              <w:pStyle w:val="36"/>
              <w:ind w:firstLine="480"/>
              <w:rPr>
                <w:rFonts w:hint="default"/>
              </w:rPr>
            </w:pPr>
            <w:r>
              <w:rPr>
                <w:rFonts w:hint="eastAsia" w:ascii="宋体" w:hAnsi="宋体" w:eastAsia="宋体" w:cs="宋体"/>
              </w:rPr>
              <w:t>④</w:t>
            </w:r>
            <w:r>
              <w:rPr>
                <w:rFonts w:hint="default"/>
              </w:rPr>
              <w:t>A2/O微曝氧化沟</w:t>
            </w:r>
          </w:p>
          <w:p w14:paraId="23682BD3">
            <w:pPr>
              <w:pStyle w:val="36"/>
              <w:ind w:firstLine="480"/>
              <w:rPr>
                <w:rFonts w:hint="default"/>
              </w:rPr>
            </w:pPr>
            <w:r>
              <w:rPr>
                <w:rFonts w:hint="default"/>
              </w:rPr>
              <w:t>A2/O微曝氧化沟是A2/O系列工艺与CARROUSEL（卡鲁塞尔）氧化沟有机结合的产物，它集合了二者的优点，在传统的氧化沟前端增设了（污泥反硝化区）厌氧区和缺氧区，因此具有生物除磷脱氮功能。</w:t>
            </w:r>
          </w:p>
          <w:p w14:paraId="4731A081">
            <w:pPr>
              <w:pStyle w:val="36"/>
              <w:ind w:firstLine="480"/>
              <w:rPr>
                <w:rFonts w:hint="default"/>
              </w:rPr>
            </w:pPr>
            <w:r>
              <w:rPr>
                <w:rFonts w:hint="default"/>
              </w:rPr>
              <w:t>厌氧、缺氧与好氧区三个功能严格分开，界线分明，可根据进水条件和出水要求，人为地创造和控制三段的运转条件，只要碳源充足（BOD/TKN≥4）便可根据需要达到比较高脱氮率。</w:t>
            </w:r>
          </w:p>
          <w:p w14:paraId="0E880B1F">
            <w:pPr>
              <w:pStyle w:val="36"/>
              <w:ind w:firstLine="480"/>
              <w:rPr>
                <w:rFonts w:hint="default"/>
              </w:rPr>
            </w:pPr>
            <w:r>
              <w:rPr>
                <w:rFonts w:hint="default"/>
              </w:rPr>
              <w:t>该工艺的优点是可以充分利用硝化液中的硝态氧来氧化BOD</w:t>
            </w:r>
            <w:r>
              <w:rPr>
                <w:rFonts w:hint="default"/>
                <w:vertAlign w:val="subscript"/>
              </w:rPr>
              <w:t>5</w:t>
            </w:r>
            <w:r>
              <w:rPr>
                <w:rFonts w:hint="default"/>
              </w:rPr>
              <w:t>，回收了部分硝化反应的需氧量，反硝化反应所产生的碱度可以部分补偿硝化反应消耗的碱度，因此对含氮浓度不高的城市污水可以不另外加碱来调节pH。在厌氧（缺氧）、好氧交替运行的条件下，丝状菌不能大量繁殖，无污泥膨胀之虞，SVI值小于100，利于处理后污水与污泥的分离；好氧池内布设传统A2/O法（A/O系列及SBR系列）中普遍采用的微孔曝气器，在好氧池内非曝气区、厌氧池及缺氧池只设水下低速推流搅拌器，使污水与污泥充分接触并处于循环流动状态，所需电量小，运行成本也低。</w:t>
            </w:r>
          </w:p>
          <w:p w14:paraId="0D568BB7">
            <w:pPr>
              <w:pStyle w:val="36"/>
              <w:ind w:firstLine="480"/>
              <w:rPr>
                <w:rFonts w:hint="default"/>
              </w:rPr>
            </w:pPr>
            <w:r>
              <w:rPr>
                <w:rFonts w:hint="eastAsia"/>
                <w:lang w:eastAsia="zh-CN"/>
              </w:rPr>
              <w:t>（</w:t>
            </w:r>
            <w:r>
              <w:rPr>
                <w:rFonts w:hint="eastAsia"/>
                <w:lang w:val="en-US" w:eastAsia="zh-CN"/>
              </w:rPr>
              <w:t>3</w:t>
            </w:r>
            <w:r>
              <w:rPr>
                <w:rFonts w:hint="eastAsia"/>
                <w:lang w:eastAsia="zh-CN"/>
              </w:rPr>
              <w:t>）</w:t>
            </w:r>
            <w:r>
              <w:rPr>
                <w:rFonts w:hint="default"/>
              </w:rPr>
              <w:t>SBR系列</w:t>
            </w:r>
          </w:p>
          <w:p w14:paraId="4B1ED92A">
            <w:pPr>
              <w:pStyle w:val="36"/>
              <w:ind w:firstLine="480"/>
              <w:rPr>
                <w:rFonts w:hint="default"/>
              </w:rPr>
            </w:pPr>
            <w:r>
              <w:rPr>
                <w:rFonts w:hint="default"/>
              </w:rPr>
              <w:t>序批活性污泥法又称SBR法，由于运行中采用间歇的形式，因此每一反应池是一批一批地处理污水，故得此名。SBR工艺70年代出现于美国，经过多年的发展，出现了多种变型。</w:t>
            </w:r>
          </w:p>
          <w:p w14:paraId="6B75EF35">
            <w:pPr>
              <w:pStyle w:val="36"/>
              <w:ind w:firstLine="480"/>
              <w:rPr>
                <w:rFonts w:hint="default"/>
              </w:rPr>
            </w:pPr>
            <w:r>
              <w:rPr>
                <w:rFonts w:hint="default"/>
              </w:rPr>
              <w:t>①UNITANK工艺</w:t>
            </w:r>
          </w:p>
          <w:p w14:paraId="32682318">
            <w:pPr>
              <w:pStyle w:val="36"/>
              <w:ind w:firstLine="480"/>
              <w:rPr>
                <w:rFonts w:hint="default"/>
              </w:rPr>
            </w:pPr>
            <w:r>
              <w:rPr>
                <w:rFonts w:hint="default"/>
              </w:rPr>
              <w:t>廊道交替池是UNITANK工艺的脱氮除磷典型池型之一。廊道交替池由三池（即两个边池和一个中间池组成），三池成串联布置。两道公用池壁以管道呈水力相通。每个池多为方形，也可为矩形。三池的池型和体积可一样，也可不一样，但两个边池应一样。三池均设置有曝气设备（风曝或表曝）和进水装置，两个边池设有潜水搅拌器、出水堰和剩余污泥排出装置，个别还增加斜管沉淀设备。</w:t>
            </w:r>
          </w:p>
          <w:p w14:paraId="73885161">
            <w:pPr>
              <w:pStyle w:val="36"/>
              <w:ind w:firstLine="480"/>
              <w:rPr>
                <w:rFonts w:hint="default"/>
              </w:rPr>
            </w:pPr>
            <w:r>
              <w:rPr>
                <w:rFonts w:hint="default"/>
              </w:rPr>
              <w:t>UNITANK工艺具有独特的优点：</w:t>
            </w:r>
          </w:p>
          <w:p w14:paraId="72FA57D7">
            <w:pPr>
              <w:pStyle w:val="36"/>
              <w:ind w:firstLine="480"/>
              <w:rPr>
                <w:rFonts w:hint="default"/>
              </w:rPr>
            </w:pPr>
            <w:r>
              <w:rPr>
                <w:rFonts w:hint="default"/>
              </w:rPr>
              <w:t>根据进出水水质要求调整运行周期和时序，在曝气期内设置非曝气阶段，可形成厌氧、缺氧和好氧交替状态，实现脱氮除磷功能，运转灵活。</w:t>
            </w:r>
          </w:p>
          <w:p w14:paraId="147020D6">
            <w:pPr>
              <w:pStyle w:val="36"/>
              <w:ind w:firstLine="480"/>
              <w:rPr>
                <w:rFonts w:hint="default"/>
              </w:rPr>
            </w:pPr>
            <w:r>
              <w:rPr>
                <w:rFonts w:hint="default"/>
              </w:rPr>
              <w:t>没有污泥回流和混合液回流的内循环设施，能耗更省。</w:t>
            </w:r>
          </w:p>
          <w:p w14:paraId="43504E73">
            <w:pPr>
              <w:pStyle w:val="36"/>
              <w:ind w:firstLine="480"/>
              <w:rPr>
                <w:rFonts w:hint="default"/>
              </w:rPr>
            </w:pPr>
            <w:r>
              <w:rPr>
                <w:rFonts w:hint="default"/>
              </w:rPr>
              <w:t>采用矩形池结构，生物池公用隔墙布置，可节省土建费用和工程建设用地。</w:t>
            </w:r>
          </w:p>
          <w:p w14:paraId="75E1477E">
            <w:pPr>
              <w:pStyle w:val="36"/>
              <w:ind w:firstLine="480"/>
              <w:rPr>
                <w:rFonts w:hint="default"/>
              </w:rPr>
            </w:pPr>
            <w:r>
              <w:rPr>
                <w:rFonts w:hint="default"/>
              </w:rPr>
              <w:t>系统为连续运行，出水采用固定堰，水面基本恒定，另外池中约有2/3的设备同时运行，与SBR工艺相比，其容积和设备利用率高。</w:t>
            </w:r>
          </w:p>
          <w:p w14:paraId="6833A625">
            <w:pPr>
              <w:pStyle w:val="36"/>
              <w:ind w:firstLine="480"/>
              <w:rPr>
                <w:rFonts w:hint="default"/>
              </w:rPr>
            </w:pPr>
            <w:r>
              <w:rPr>
                <w:rFonts w:hint="default"/>
              </w:rPr>
              <w:t>其主要缺点是：</w:t>
            </w:r>
          </w:p>
          <w:p w14:paraId="588C9C80">
            <w:pPr>
              <w:pStyle w:val="36"/>
              <w:ind w:firstLine="480"/>
              <w:rPr>
                <w:rFonts w:hint="default"/>
              </w:rPr>
            </w:pPr>
            <w:r>
              <w:rPr>
                <w:rFonts w:hint="default"/>
              </w:rPr>
              <w:t>处理水量过大时，处理单元数也会相应增加，致使配水、出水、冲洗水和剩余污泥排放等设备相应增加，大大提高了实际运行的复杂程度。</w:t>
            </w:r>
          </w:p>
          <w:p w14:paraId="711644BF">
            <w:pPr>
              <w:pStyle w:val="36"/>
              <w:ind w:firstLine="480"/>
              <w:rPr>
                <w:rFonts w:hint="default"/>
              </w:rPr>
            </w:pPr>
            <w:r>
              <w:rPr>
                <w:rFonts w:hint="default"/>
              </w:rPr>
              <w:t>该工艺除磷脱氮过程是通过在沉淀末期和曝气期中间加入非曝气搅拌期，形成缺氧和厌氧状态。但从实际运行看，很难形成生物除磷的理想状态。因为，在非曝气搅拌期，水中大量的硝酸盐会消耗溶解性BOD，降低BOD/P比值；进水中BOD在生物池内被大量稀释，除磷菌可摄取的BOD减少，在厌氧阶段磷释放不彻底，因此，除磷效果不稳定。</w:t>
            </w:r>
          </w:p>
          <w:p w14:paraId="15045B07">
            <w:pPr>
              <w:pStyle w:val="36"/>
              <w:ind w:firstLine="480"/>
              <w:rPr>
                <w:rFonts w:hint="default"/>
              </w:rPr>
            </w:pPr>
            <w:r>
              <w:rPr>
                <w:rFonts w:hint="default"/>
              </w:rPr>
              <w:t>②CAST工艺</w:t>
            </w:r>
          </w:p>
          <w:p w14:paraId="2EE4B273">
            <w:pPr>
              <w:pStyle w:val="36"/>
              <w:ind w:firstLine="480"/>
              <w:rPr>
                <w:rFonts w:hint="default"/>
              </w:rPr>
            </w:pPr>
            <w:r>
              <w:rPr>
                <w:rFonts w:hint="default"/>
              </w:rPr>
              <w:t>CAST工艺是于1968年由澳大利亚开发的一种间歇运行的循环式活性污泥法，是SBR工艺的一种变型。每个CAST反应器由三个区域组成，即生物选择区、预反应区和主反应区。主反应区设有污泥回流泵。选择器放在池首段防止污泥膨胀，提高污泥沉降和脱水性能，回流污泥进入选择器保证了活性污泥不断地在选择器内经历高絮体负荷阶段，从而有利于系统中絮凝性细菌的生长，并可以提高污泥活性，使其快速地去除废水中溶解性易降解物质，进一步有效地抑制丝状菌的生长和繁殖，预反应区内厌氧、缺氧环境的存在创造了生物除磷和生物反硝化的条件，主反应区为曝气区，主要进行BOD降解和硝化反硝化过程。</w:t>
            </w:r>
          </w:p>
          <w:p w14:paraId="3BBAD256">
            <w:pPr>
              <w:pStyle w:val="36"/>
              <w:ind w:firstLine="480"/>
              <w:rPr>
                <w:rFonts w:hint="default"/>
              </w:rPr>
            </w:pPr>
            <w:r>
              <w:rPr>
                <w:rFonts w:hint="default"/>
              </w:rPr>
              <w:t>CAST主要具有以下特点：</w:t>
            </w:r>
          </w:p>
          <w:p w14:paraId="5862B62F">
            <w:pPr>
              <w:pStyle w:val="36"/>
              <w:ind w:firstLine="480"/>
              <w:rPr>
                <w:rFonts w:hint="default"/>
              </w:rPr>
            </w:pPr>
            <w:r>
              <w:rPr>
                <w:rFonts w:hint="default"/>
              </w:rPr>
              <w:t>占地较少，构筑物简单，布置紧凑；</w:t>
            </w:r>
          </w:p>
          <w:p w14:paraId="3E2ABC66">
            <w:pPr>
              <w:pStyle w:val="36"/>
              <w:ind w:firstLine="480"/>
              <w:rPr>
                <w:rFonts w:hint="default"/>
              </w:rPr>
            </w:pPr>
            <w:r>
              <w:rPr>
                <w:rFonts w:hint="default"/>
              </w:rPr>
              <w:t>抗冲击负荷能力强，出水水质好；</w:t>
            </w:r>
          </w:p>
          <w:p w14:paraId="1E87B45E">
            <w:pPr>
              <w:pStyle w:val="36"/>
              <w:ind w:firstLine="480"/>
              <w:rPr>
                <w:rFonts w:hint="default"/>
              </w:rPr>
            </w:pPr>
            <w:r>
              <w:rPr>
                <w:rFonts w:hint="default"/>
              </w:rPr>
              <w:t>污泥活性高，沉降性能好；</w:t>
            </w:r>
          </w:p>
          <w:p w14:paraId="4AEA8BF9">
            <w:pPr>
              <w:pStyle w:val="36"/>
              <w:ind w:firstLine="480"/>
              <w:rPr>
                <w:rFonts w:hint="default"/>
              </w:rPr>
            </w:pPr>
            <w:r>
              <w:rPr>
                <w:rFonts w:hint="default"/>
              </w:rPr>
              <w:t>由于污泥回流比低（通常只有平均日流量的20%，没有其他循环或回流流量），所以运行费用低；</w:t>
            </w:r>
          </w:p>
          <w:p w14:paraId="1D301206">
            <w:pPr>
              <w:pStyle w:val="36"/>
              <w:ind w:firstLine="480"/>
              <w:rPr>
                <w:rFonts w:hint="default"/>
              </w:rPr>
            </w:pPr>
            <w:r>
              <w:rPr>
                <w:rFonts w:hint="default"/>
              </w:rPr>
              <w:t>其主要缺点是：</w:t>
            </w:r>
          </w:p>
          <w:p w14:paraId="2D6F70CB">
            <w:pPr>
              <w:pStyle w:val="36"/>
              <w:ind w:firstLine="480"/>
              <w:rPr>
                <w:rFonts w:hint="default"/>
              </w:rPr>
            </w:pPr>
            <w:r>
              <w:rPr>
                <w:rFonts w:hint="default"/>
              </w:rPr>
              <w:t>全自动运行，对设备、自控系统质量及操作管理要求较高；</w:t>
            </w:r>
          </w:p>
          <w:p w14:paraId="38B2B72A">
            <w:pPr>
              <w:pStyle w:val="36"/>
              <w:ind w:firstLine="480"/>
              <w:rPr>
                <w:rFonts w:hint="default"/>
              </w:rPr>
            </w:pPr>
            <w:r>
              <w:rPr>
                <w:rFonts w:hint="default"/>
              </w:rPr>
              <w:t>间歇周期运行，容积及设备利用率不高；</w:t>
            </w:r>
          </w:p>
          <w:p w14:paraId="6BA53EA2">
            <w:pPr>
              <w:pStyle w:val="36"/>
              <w:ind w:firstLine="480"/>
              <w:rPr>
                <w:rFonts w:hint="default"/>
              </w:rPr>
            </w:pPr>
            <w:r>
              <w:rPr>
                <w:rFonts w:hint="default"/>
              </w:rPr>
              <w:t>水位变化大，提升水泵扬程增大；</w:t>
            </w:r>
          </w:p>
          <w:p w14:paraId="156DBE5D">
            <w:pPr>
              <w:pStyle w:val="36"/>
              <w:ind w:firstLine="480"/>
              <w:rPr>
                <w:rFonts w:hint="default"/>
              </w:rPr>
            </w:pPr>
            <w:r>
              <w:rPr>
                <w:rFonts w:hint="default"/>
              </w:rPr>
              <w:t>水量较大时，设备台数多，增加了设备的维护工作量；</w:t>
            </w:r>
          </w:p>
          <w:p w14:paraId="2D13D3E9">
            <w:pPr>
              <w:pStyle w:val="36"/>
              <w:ind w:firstLine="480"/>
              <w:rPr>
                <w:rFonts w:hint="default"/>
              </w:rPr>
            </w:pPr>
            <w:r>
              <w:rPr>
                <w:rFonts w:hint="eastAsia"/>
                <w:lang w:eastAsia="zh-CN"/>
              </w:rPr>
              <w:t>（</w:t>
            </w:r>
            <w:r>
              <w:rPr>
                <w:rFonts w:hint="eastAsia"/>
                <w:lang w:val="en-US" w:eastAsia="zh-CN"/>
              </w:rPr>
              <w:t>4</w:t>
            </w:r>
            <w:r>
              <w:rPr>
                <w:rFonts w:hint="eastAsia"/>
                <w:lang w:eastAsia="zh-CN"/>
              </w:rPr>
              <w:t>）</w:t>
            </w:r>
            <w:r>
              <w:rPr>
                <w:rFonts w:hint="default"/>
              </w:rPr>
              <w:t>二级处理工艺的确定</w:t>
            </w:r>
          </w:p>
          <w:p w14:paraId="700C3C28">
            <w:pPr>
              <w:pStyle w:val="36"/>
              <w:ind w:firstLine="480"/>
              <w:rPr>
                <w:rFonts w:hint="default"/>
              </w:rPr>
            </w:pPr>
            <w:r>
              <w:rPr>
                <w:rFonts w:hint="default"/>
              </w:rPr>
              <w:t>本方案从污泥浓度、供氧量、占地面积、设备费用、运行管理等角度对比各二级处理工艺：</w:t>
            </w:r>
          </w:p>
          <w:p w14:paraId="34C13ADD">
            <w:pPr>
              <w:pStyle w:val="52"/>
              <w:bidi w:val="0"/>
              <w:rPr>
                <w:rFonts w:hint="default"/>
              </w:rPr>
            </w:pPr>
            <w:r>
              <w:rPr>
                <w:rFonts w:hint="default"/>
              </w:rPr>
              <w:t>二级处理工艺对比</w:t>
            </w:r>
            <w:r>
              <w:rPr>
                <w:rFonts w:hint="eastAsia"/>
                <w:lang w:val="en-US" w:eastAsia="zh-CN"/>
              </w:rPr>
              <w:t>一览</w:t>
            </w:r>
            <w:r>
              <w:rPr>
                <w:rFonts w:hint="default"/>
              </w:rPr>
              <w:t>表</w:t>
            </w:r>
          </w:p>
          <w:tbl>
            <w:tblPr>
              <w:tblStyle w:val="129"/>
              <w:tblW w:w="8523" w:type="dxa"/>
              <w:tblInd w:w="4"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069"/>
              <w:gridCol w:w="2259"/>
              <w:gridCol w:w="2065"/>
              <w:gridCol w:w="2130"/>
            </w:tblGrid>
            <w:tr w14:paraId="1F1A9B4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69" w:type="dxa"/>
                  <w:tcBorders>
                    <w:tl2br w:val="nil"/>
                    <w:tr2bl w:val="nil"/>
                  </w:tcBorders>
                  <w:vAlign w:val="center"/>
                </w:tcPr>
                <w:p w14:paraId="669864F1">
                  <w:pPr>
                    <w:pStyle w:val="38"/>
                    <w:bidi w:val="0"/>
                    <w:ind w:left="0" w:leftChars="0" w:right="0" w:rightChars="0" w:firstLine="0" w:firstLineChars="0"/>
                    <w:jc w:val="center"/>
                    <w:rPr>
                      <w:b/>
                      <w:bCs/>
                    </w:rPr>
                  </w:pPr>
                  <w:r>
                    <w:rPr>
                      <w:b/>
                      <w:bCs/>
                    </w:rPr>
                    <w:t>对比项工艺</w:t>
                  </w:r>
                </w:p>
              </w:tc>
              <w:tc>
                <w:tcPr>
                  <w:tcW w:w="2259" w:type="dxa"/>
                  <w:tcBorders>
                    <w:tl2br w:val="nil"/>
                    <w:tr2bl w:val="nil"/>
                  </w:tcBorders>
                  <w:vAlign w:val="center"/>
                </w:tcPr>
                <w:p w14:paraId="30D0F282">
                  <w:pPr>
                    <w:pStyle w:val="38"/>
                    <w:bidi w:val="0"/>
                    <w:ind w:left="0" w:leftChars="0" w:right="0" w:rightChars="0" w:firstLine="0" w:firstLineChars="0"/>
                    <w:jc w:val="center"/>
                    <w:rPr>
                      <w:b/>
                      <w:bCs/>
                    </w:rPr>
                  </w:pPr>
                  <w:r>
                    <w:rPr>
                      <w:b/>
                      <w:bCs/>
                    </w:rPr>
                    <w:t>AAO工艺</w:t>
                  </w:r>
                </w:p>
              </w:tc>
              <w:tc>
                <w:tcPr>
                  <w:tcW w:w="2065" w:type="dxa"/>
                  <w:tcBorders>
                    <w:tl2br w:val="nil"/>
                    <w:tr2bl w:val="nil"/>
                  </w:tcBorders>
                  <w:vAlign w:val="center"/>
                </w:tcPr>
                <w:p w14:paraId="40A06E6B">
                  <w:pPr>
                    <w:pStyle w:val="38"/>
                    <w:bidi w:val="0"/>
                    <w:ind w:left="0" w:leftChars="0" w:right="0" w:rightChars="0" w:firstLine="0" w:firstLineChars="0"/>
                    <w:jc w:val="center"/>
                    <w:rPr>
                      <w:b/>
                      <w:bCs/>
                    </w:rPr>
                  </w:pPr>
                  <w:r>
                    <w:rPr>
                      <w:b/>
                      <w:bCs/>
                    </w:rPr>
                    <w:t>氧化沟工艺</w:t>
                  </w:r>
                </w:p>
              </w:tc>
              <w:tc>
                <w:tcPr>
                  <w:tcW w:w="2130" w:type="dxa"/>
                  <w:tcBorders>
                    <w:tl2br w:val="nil"/>
                    <w:tr2bl w:val="nil"/>
                  </w:tcBorders>
                  <w:vAlign w:val="center"/>
                </w:tcPr>
                <w:p w14:paraId="7151E514">
                  <w:pPr>
                    <w:pStyle w:val="38"/>
                    <w:bidi w:val="0"/>
                    <w:ind w:left="0" w:leftChars="0" w:right="0" w:rightChars="0" w:firstLine="0" w:firstLineChars="0"/>
                    <w:jc w:val="center"/>
                    <w:rPr>
                      <w:b/>
                      <w:bCs/>
                    </w:rPr>
                  </w:pPr>
                  <w:r>
                    <w:rPr>
                      <w:b/>
                      <w:bCs/>
                    </w:rPr>
                    <w:t>SBR工艺</w:t>
                  </w:r>
                </w:p>
              </w:tc>
            </w:tr>
            <w:tr w14:paraId="788F625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69" w:type="dxa"/>
                  <w:tcBorders>
                    <w:tl2br w:val="nil"/>
                    <w:tr2bl w:val="nil"/>
                  </w:tcBorders>
                  <w:vAlign w:val="center"/>
                </w:tcPr>
                <w:p w14:paraId="5FAF4CED">
                  <w:pPr>
                    <w:pStyle w:val="38"/>
                    <w:bidi w:val="0"/>
                    <w:ind w:left="0" w:leftChars="0" w:right="0" w:rightChars="0" w:firstLine="0" w:firstLineChars="0"/>
                    <w:jc w:val="center"/>
                  </w:pPr>
                  <w:r>
                    <w:t>处理流程</w:t>
                  </w:r>
                </w:p>
              </w:tc>
              <w:tc>
                <w:tcPr>
                  <w:tcW w:w="2259" w:type="dxa"/>
                  <w:tcBorders>
                    <w:tl2br w:val="nil"/>
                    <w:tr2bl w:val="nil"/>
                  </w:tcBorders>
                  <w:vAlign w:val="center"/>
                </w:tcPr>
                <w:p w14:paraId="11B3D2E0">
                  <w:pPr>
                    <w:pStyle w:val="38"/>
                    <w:bidi w:val="0"/>
                    <w:ind w:left="0" w:leftChars="0" w:right="0" w:rightChars="0" w:firstLine="0" w:firstLineChars="0"/>
                    <w:jc w:val="center"/>
                  </w:pPr>
                  <w:r>
                    <w:t>厌氧－缺氧-好氧</w:t>
                  </w:r>
                </w:p>
              </w:tc>
              <w:tc>
                <w:tcPr>
                  <w:tcW w:w="2065" w:type="dxa"/>
                  <w:tcBorders>
                    <w:tl2br w:val="nil"/>
                    <w:tr2bl w:val="nil"/>
                  </w:tcBorders>
                  <w:vAlign w:val="center"/>
                </w:tcPr>
                <w:p w14:paraId="5B4ECA50">
                  <w:pPr>
                    <w:pStyle w:val="38"/>
                    <w:bidi w:val="0"/>
                    <w:ind w:left="0" w:leftChars="0" w:right="0" w:rightChars="0" w:firstLine="0" w:firstLineChars="0"/>
                    <w:jc w:val="center"/>
                  </w:pPr>
                  <w:r>
                    <w:t>连续循环曝气</w:t>
                  </w:r>
                </w:p>
              </w:tc>
              <w:tc>
                <w:tcPr>
                  <w:tcW w:w="2130" w:type="dxa"/>
                  <w:tcBorders>
                    <w:tl2br w:val="nil"/>
                    <w:tr2bl w:val="nil"/>
                  </w:tcBorders>
                  <w:vAlign w:val="center"/>
                </w:tcPr>
                <w:p w14:paraId="0D28BBCB">
                  <w:pPr>
                    <w:pStyle w:val="38"/>
                    <w:bidi w:val="0"/>
                    <w:ind w:left="0" w:leftChars="0" w:right="0" w:rightChars="0" w:firstLine="0" w:firstLineChars="0"/>
                    <w:jc w:val="center"/>
                  </w:pPr>
                  <w:r>
                    <w:t>序批式活性污泥法</w:t>
                  </w:r>
                </w:p>
              </w:tc>
            </w:tr>
            <w:tr w14:paraId="2437D1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69" w:type="dxa"/>
                  <w:tcBorders>
                    <w:tl2br w:val="nil"/>
                    <w:tr2bl w:val="nil"/>
                  </w:tcBorders>
                  <w:vAlign w:val="center"/>
                </w:tcPr>
                <w:p w14:paraId="672D9461">
                  <w:pPr>
                    <w:pStyle w:val="38"/>
                    <w:bidi w:val="0"/>
                    <w:ind w:left="0" w:leftChars="0" w:right="0" w:rightChars="0" w:firstLine="0" w:firstLineChars="0"/>
                    <w:jc w:val="center"/>
                  </w:pPr>
                  <w:r>
                    <w:t>脱氮除磷效果</w:t>
                  </w:r>
                </w:p>
              </w:tc>
              <w:tc>
                <w:tcPr>
                  <w:tcW w:w="2259" w:type="dxa"/>
                  <w:tcBorders>
                    <w:tl2br w:val="nil"/>
                    <w:tr2bl w:val="nil"/>
                  </w:tcBorders>
                  <w:vAlign w:val="center"/>
                </w:tcPr>
                <w:p w14:paraId="189E4982">
                  <w:pPr>
                    <w:pStyle w:val="38"/>
                    <w:bidi w:val="0"/>
                    <w:ind w:left="0" w:leftChars="0" w:right="0" w:rightChars="0" w:firstLine="0" w:firstLineChars="0"/>
                    <w:jc w:val="center"/>
                  </w:pPr>
                  <w:r>
                    <w:t>高效同步脱氮除磷</w:t>
                  </w:r>
                </w:p>
              </w:tc>
              <w:tc>
                <w:tcPr>
                  <w:tcW w:w="2065" w:type="dxa"/>
                  <w:tcBorders>
                    <w:tl2br w:val="nil"/>
                    <w:tr2bl w:val="nil"/>
                  </w:tcBorders>
                  <w:vAlign w:val="center"/>
                </w:tcPr>
                <w:p w14:paraId="4AEEB535">
                  <w:pPr>
                    <w:pStyle w:val="38"/>
                    <w:bidi w:val="0"/>
                    <w:ind w:left="0" w:leftChars="0" w:right="0" w:rightChars="0" w:firstLine="0" w:firstLineChars="0"/>
                    <w:jc w:val="center"/>
                  </w:pPr>
                  <w:r>
                    <w:t>较好</w:t>
                  </w:r>
                </w:p>
              </w:tc>
              <w:tc>
                <w:tcPr>
                  <w:tcW w:w="2130" w:type="dxa"/>
                  <w:tcBorders>
                    <w:tl2br w:val="nil"/>
                    <w:tr2bl w:val="nil"/>
                  </w:tcBorders>
                  <w:vAlign w:val="center"/>
                </w:tcPr>
                <w:p w14:paraId="42431C18">
                  <w:pPr>
                    <w:pStyle w:val="38"/>
                    <w:bidi w:val="0"/>
                    <w:ind w:left="0" w:leftChars="0" w:right="0" w:rightChars="0" w:firstLine="0" w:firstLineChars="0"/>
                    <w:jc w:val="center"/>
                  </w:pPr>
                  <w:r>
                    <w:t>较好</w:t>
                  </w:r>
                </w:p>
              </w:tc>
            </w:tr>
            <w:tr w14:paraId="0D60BB8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69" w:type="dxa"/>
                  <w:tcBorders>
                    <w:tl2br w:val="nil"/>
                    <w:tr2bl w:val="nil"/>
                  </w:tcBorders>
                  <w:vAlign w:val="center"/>
                </w:tcPr>
                <w:p w14:paraId="38082662">
                  <w:pPr>
                    <w:pStyle w:val="38"/>
                    <w:bidi w:val="0"/>
                    <w:ind w:left="0" w:leftChars="0" w:right="0" w:rightChars="0" w:firstLine="0" w:firstLineChars="0"/>
                    <w:jc w:val="center"/>
                  </w:pPr>
                  <w:r>
                    <w:t>占地面积</w:t>
                  </w:r>
                </w:p>
              </w:tc>
              <w:tc>
                <w:tcPr>
                  <w:tcW w:w="2259" w:type="dxa"/>
                  <w:tcBorders>
                    <w:tl2br w:val="nil"/>
                    <w:tr2bl w:val="nil"/>
                  </w:tcBorders>
                  <w:vAlign w:val="center"/>
                </w:tcPr>
                <w:p w14:paraId="439E4E3E">
                  <w:pPr>
                    <w:pStyle w:val="38"/>
                    <w:bidi w:val="0"/>
                    <w:ind w:left="0" w:leftChars="0" w:right="0" w:rightChars="0" w:firstLine="0" w:firstLineChars="0"/>
                    <w:jc w:val="center"/>
                  </w:pPr>
                  <w:r>
                    <w:t>较大</w:t>
                  </w:r>
                </w:p>
              </w:tc>
              <w:tc>
                <w:tcPr>
                  <w:tcW w:w="2065" w:type="dxa"/>
                  <w:tcBorders>
                    <w:tl2br w:val="nil"/>
                    <w:tr2bl w:val="nil"/>
                  </w:tcBorders>
                  <w:vAlign w:val="center"/>
                </w:tcPr>
                <w:p w14:paraId="0BA60E86">
                  <w:pPr>
                    <w:pStyle w:val="38"/>
                    <w:bidi w:val="0"/>
                    <w:ind w:left="0" w:leftChars="0" w:right="0" w:rightChars="0" w:firstLine="0" w:firstLineChars="0"/>
                    <w:jc w:val="center"/>
                  </w:pPr>
                  <w:r>
                    <w:t>适中</w:t>
                  </w:r>
                </w:p>
              </w:tc>
              <w:tc>
                <w:tcPr>
                  <w:tcW w:w="2130" w:type="dxa"/>
                  <w:tcBorders>
                    <w:tl2br w:val="nil"/>
                    <w:tr2bl w:val="nil"/>
                  </w:tcBorders>
                  <w:vAlign w:val="center"/>
                </w:tcPr>
                <w:p w14:paraId="109A805A">
                  <w:pPr>
                    <w:pStyle w:val="38"/>
                    <w:bidi w:val="0"/>
                    <w:ind w:left="0" w:leftChars="0" w:right="0" w:rightChars="0" w:firstLine="0" w:firstLineChars="0"/>
                    <w:jc w:val="center"/>
                  </w:pPr>
                  <w:r>
                    <w:t>较小</w:t>
                  </w:r>
                </w:p>
              </w:tc>
            </w:tr>
            <w:tr w14:paraId="48CE93C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69" w:type="dxa"/>
                  <w:tcBorders>
                    <w:tl2br w:val="nil"/>
                    <w:tr2bl w:val="nil"/>
                  </w:tcBorders>
                  <w:vAlign w:val="center"/>
                </w:tcPr>
                <w:p w14:paraId="142780C1">
                  <w:pPr>
                    <w:pStyle w:val="38"/>
                    <w:bidi w:val="0"/>
                    <w:ind w:left="0" w:leftChars="0" w:right="0" w:rightChars="0" w:firstLine="0" w:firstLineChars="0"/>
                    <w:jc w:val="center"/>
                  </w:pPr>
                  <w:r>
                    <w:t>设备费用</w:t>
                  </w:r>
                </w:p>
              </w:tc>
              <w:tc>
                <w:tcPr>
                  <w:tcW w:w="2259" w:type="dxa"/>
                  <w:tcBorders>
                    <w:tl2br w:val="nil"/>
                    <w:tr2bl w:val="nil"/>
                  </w:tcBorders>
                  <w:vAlign w:val="center"/>
                </w:tcPr>
                <w:p w14:paraId="66CB440F">
                  <w:pPr>
                    <w:pStyle w:val="38"/>
                    <w:bidi w:val="0"/>
                    <w:ind w:left="0" w:leftChars="0" w:right="0" w:rightChars="0" w:firstLine="0" w:firstLineChars="0"/>
                    <w:jc w:val="center"/>
                  </w:pPr>
                  <w:r>
                    <w:t>适中</w:t>
                  </w:r>
                </w:p>
              </w:tc>
              <w:tc>
                <w:tcPr>
                  <w:tcW w:w="2065" w:type="dxa"/>
                  <w:tcBorders>
                    <w:tl2br w:val="nil"/>
                    <w:tr2bl w:val="nil"/>
                  </w:tcBorders>
                  <w:vAlign w:val="center"/>
                </w:tcPr>
                <w:p w14:paraId="7BC8845D">
                  <w:pPr>
                    <w:pStyle w:val="38"/>
                    <w:bidi w:val="0"/>
                    <w:ind w:left="0" w:leftChars="0" w:right="0" w:rightChars="0" w:firstLine="0" w:firstLineChars="0"/>
                    <w:jc w:val="center"/>
                  </w:pPr>
                  <w:r>
                    <w:t>适中至较高</w:t>
                  </w:r>
                </w:p>
              </w:tc>
              <w:tc>
                <w:tcPr>
                  <w:tcW w:w="2130" w:type="dxa"/>
                  <w:tcBorders>
                    <w:tl2br w:val="nil"/>
                    <w:tr2bl w:val="nil"/>
                  </w:tcBorders>
                  <w:vAlign w:val="center"/>
                </w:tcPr>
                <w:p w14:paraId="62B6C1BA">
                  <w:pPr>
                    <w:pStyle w:val="38"/>
                    <w:bidi w:val="0"/>
                    <w:ind w:left="0" w:leftChars="0" w:right="0" w:rightChars="0" w:firstLine="0" w:firstLineChars="0"/>
                    <w:jc w:val="center"/>
                  </w:pPr>
                  <w:r>
                    <w:t>适中</w:t>
                  </w:r>
                </w:p>
              </w:tc>
            </w:tr>
            <w:tr w14:paraId="6E61027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69" w:type="dxa"/>
                  <w:tcBorders>
                    <w:tl2br w:val="nil"/>
                    <w:tr2bl w:val="nil"/>
                  </w:tcBorders>
                  <w:vAlign w:val="center"/>
                </w:tcPr>
                <w:p w14:paraId="07D54EC0">
                  <w:pPr>
                    <w:pStyle w:val="38"/>
                    <w:bidi w:val="0"/>
                    <w:ind w:left="0" w:leftChars="0" w:right="0" w:rightChars="0" w:firstLine="0" w:firstLineChars="0"/>
                    <w:jc w:val="center"/>
                  </w:pPr>
                  <w:r>
                    <w:t>运行管理</w:t>
                  </w:r>
                </w:p>
              </w:tc>
              <w:tc>
                <w:tcPr>
                  <w:tcW w:w="2259" w:type="dxa"/>
                  <w:tcBorders>
                    <w:tl2br w:val="nil"/>
                    <w:tr2bl w:val="nil"/>
                  </w:tcBorders>
                  <w:vAlign w:val="center"/>
                </w:tcPr>
                <w:p w14:paraId="3D6E2F48">
                  <w:pPr>
                    <w:pStyle w:val="38"/>
                    <w:bidi w:val="0"/>
                    <w:ind w:left="0" w:leftChars="0" w:right="0" w:rightChars="0" w:firstLine="0" w:firstLineChars="0"/>
                    <w:jc w:val="center"/>
                  </w:pPr>
                  <w:r>
                    <w:t>复杂，需高水平管理</w:t>
                  </w:r>
                </w:p>
              </w:tc>
              <w:tc>
                <w:tcPr>
                  <w:tcW w:w="2065" w:type="dxa"/>
                  <w:tcBorders>
                    <w:tl2br w:val="nil"/>
                    <w:tr2bl w:val="nil"/>
                  </w:tcBorders>
                  <w:vAlign w:val="center"/>
                </w:tcPr>
                <w:p w14:paraId="758089DF">
                  <w:pPr>
                    <w:pStyle w:val="38"/>
                    <w:bidi w:val="0"/>
                    <w:ind w:left="0" w:leftChars="0" w:right="0" w:rightChars="0" w:firstLine="0" w:firstLineChars="0"/>
                    <w:jc w:val="center"/>
                  </w:pPr>
                  <w:r>
                    <w:t>适中，易于控制</w:t>
                  </w:r>
                </w:p>
              </w:tc>
              <w:tc>
                <w:tcPr>
                  <w:tcW w:w="2130" w:type="dxa"/>
                  <w:tcBorders>
                    <w:tl2br w:val="nil"/>
                    <w:tr2bl w:val="nil"/>
                  </w:tcBorders>
                  <w:vAlign w:val="center"/>
                </w:tcPr>
                <w:p w14:paraId="523B0870">
                  <w:pPr>
                    <w:pStyle w:val="38"/>
                    <w:bidi w:val="0"/>
                    <w:ind w:left="0" w:leftChars="0" w:right="0" w:rightChars="0" w:firstLine="0" w:firstLineChars="0"/>
                    <w:jc w:val="center"/>
                  </w:pPr>
                  <w:r>
                    <w:t>复杂，自控要求高</w:t>
                  </w:r>
                </w:p>
              </w:tc>
            </w:tr>
            <w:tr w14:paraId="652939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69" w:type="dxa"/>
                  <w:tcBorders>
                    <w:tl2br w:val="nil"/>
                    <w:tr2bl w:val="nil"/>
                  </w:tcBorders>
                  <w:vAlign w:val="center"/>
                </w:tcPr>
                <w:p w14:paraId="68CEBB37">
                  <w:pPr>
                    <w:pStyle w:val="38"/>
                    <w:bidi w:val="0"/>
                    <w:ind w:left="0" w:leftChars="0" w:right="0" w:rightChars="0" w:firstLine="0" w:firstLineChars="0"/>
                    <w:jc w:val="center"/>
                  </w:pPr>
                  <w:r>
                    <w:t>耐冲击负荷</w:t>
                  </w:r>
                </w:p>
              </w:tc>
              <w:tc>
                <w:tcPr>
                  <w:tcW w:w="2259" w:type="dxa"/>
                  <w:tcBorders>
                    <w:tl2br w:val="nil"/>
                    <w:tr2bl w:val="nil"/>
                  </w:tcBorders>
                  <w:vAlign w:val="center"/>
                </w:tcPr>
                <w:p w14:paraId="61E49CA0">
                  <w:pPr>
                    <w:pStyle w:val="38"/>
                    <w:bidi w:val="0"/>
                    <w:ind w:left="0" w:leftChars="0" w:right="0" w:rightChars="0" w:firstLine="0" w:firstLineChars="0"/>
                    <w:jc w:val="center"/>
                  </w:pPr>
                  <w:r>
                    <w:t>较好</w:t>
                  </w:r>
                </w:p>
              </w:tc>
              <w:tc>
                <w:tcPr>
                  <w:tcW w:w="2065" w:type="dxa"/>
                  <w:tcBorders>
                    <w:tl2br w:val="nil"/>
                    <w:tr2bl w:val="nil"/>
                  </w:tcBorders>
                  <w:vAlign w:val="center"/>
                </w:tcPr>
                <w:p w14:paraId="5616879C">
                  <w:pPr>
                    <w:pStyle w:val="38"/>
                    <w:bidi w:val="0"/>
                    <w:ind w:left="0" w:leftChars="0" w:right="0" w:rightChars="0" w:firstLine="0" w:firstLineChars="0"/>
                    <w:jc w:val="center"/>
                  </w:pPr>
                  <w:r>
                    <w:t>较好</w:t>
                  </w:r>
                </w:p>
              </w:tc>
              <w:tc>
                <w:tcPr>
                  <w:tcW w:w="2130" w:type="dxa"/>
                  <w:tcBorders>
                    <w:tl2br w:val="nil"/>
                    <w:tr2bl w:val="nil"/>
                  </w:tcBorders>
                  <w:vAlign w:val="center"/>
                </w:tcPr>
                <w:p w14:paraId="6D5E5F69">
                  <w:pPr>
                    <w:pStyle w:val="38"/>
                    <w:bidi w:val="0"/>
                    <w:ind w:left="0" w:leftChars="0" w:right="0" w:rightChars="0" w:firstLine="0" w:firstLineChars="0"/>
                    <w:jc w:val="center"/>
                  </w:pPr>
                  <w:r>
                    <w:t>优</w:t>
                  </w:r>
                </w:p>
              </w:tc>
            </w:tr>
            <w:tr w14:paraId="68F6B24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69" w:type="dxa"/>
                  <w:tcBorders>
                    <w:tl2br w:val="nil"/>
                    <w:tr2bl w:val="nil"/>
                  </w:tcBorders>
                  <w:vAlign w:val="center"/>
                </w:tcPr>
                <w:p w14:paraId="3D2F9771">
                  <w:pPr>
                    <w:pStyle w:val="38"/>
                    <w:bidi w:val="0"/>
                    <w:ind w:left="0" w:leftChars="0" w:right="0" w:rightChars="0" w:firstLine="0" w:firstLineChars="0"/>
                    <w:jc w:val="center"/>
                  </w:pPr>
                  <w:r>
                    <w:t>出水水质</w:t>
                  </w:r>
                </w:p>
              </w:tc>
              <w:tc>
                <w:tcPr>
                  <w:tcW w:w="2259" w:type="dxa"/>
                  <w:tcBorders>
                    <w:tl2br w:val="nil"/>
                    <w:tr2bl w:val="nil"/>
                  </w:tcBorders>
                  <w:vAlign w:val="center"/>
                </w:tcPr>
                <w:p w14:paraId="1F40D3F0">
                  <w:pPr>
                    <w:pStyle w:val="38"/>
                    <w:bidi w:val="0"/>
                    <w:ind w:left="0" w:leftChars="0" w:right="0" w:rightChars="0" w:firstLine="0" w:firstLineChars="0"/>
                    <w:jc w:val="center"/>
                  </w:pPr>
                  <w:r>
                    <w:t>稳定，可达高标准</w:t>
                  </w:r>
                </w:p>
              </w:tc>
              <w:tc>
                <w:tcPr>
                  <w:tcW w:w="2065" w:type="dxa"/>
                  <w:tcBorders>
                    <w:tl2br w:val="nil"/>
                    <w:tr2bl w:val="nil"/>
                  </w:tcBorders>
                  <w:vAlign w:val="center"/>
                </w:tcPr>
                <w:p w14:paraId="7D48775D">
                  <w:pPr>
                    <w:pStyle w:val="38"/>
                    <w:bidi w:val="0"/>
                    <w:ind w:left="0" w:leftChars="0" w:right="0" w:rightChars="0" w:firstLine="0" w:firstLineChars="0"/>
                    <w:jc w:val="center"/>
                  </w:pPr>
                  <w:r>
                    <w:t>稳定</w:t>
                  </w:r>
                </w:p>
              </w:tc>
              <w:tc>
                <w:tcPr>
                  <w:tcW w:w="2130" w:type="dxa"/>
                  <w:tcBorders>
                    <w:tl2br w:val="nil"/>
                    <w:tr2bl w:val="nil"/>
                  </w:tcBorders>
                  <w:vAlign w:val="center"/>
                </w:tcPr>
                <w:p w14:paraId="604DCA68">
                  <w:pPr>
                    <w:pStyle w:val="38"/>
                    <w:bidi w:val="0"/>
                    <w:ind w:left="0" w:leftChars="0" w:right="0" w:rightChars="0" w:firstLine="0" w:firstLineChars="0"/>
                    <w:jc w:val="center"/>
                  </w:pPr>
                  <w:r>
                    <w:t>灵活可调，可达高标准</w:t>
                  </w:r>
                </w:p>
              </w:tc>
            </w:tr>
            <w:tr w14:paraId="3A20FE1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69" w:type="dxa"/>
                  <w:tcBorders>
                    <w:tl2br w:val="nil"/>
                    <w:tr2bl w:val="nil"/>
                  </w:tcBorders>
                  <w:vAlign w:val="center"/>
                </w:tcPr>
                <w:p w14:paraId="2F3584AD">
                  <w:pPr>
                    <w:pStyle w:val="38"/>
                    <w:bidi w:val="0"/>
                    <w:ind w:left="0" w:leftChars="0" w:right="0" w:rightChars="0" w:firstLine="0" w:firstLineChars="0"/>
                    <w:jc w:val="center"/>
                  </w:pPr>
                  <w:r>
                    <w:t>操作灵活性</w:t>
                  </w:r>
                </w:p>
              </w:tc>
              <w:tc>
                <w:tcPr>
                  <w:tcW w:w="2259" w:type="dxa"/>
                  <w:tcBorders>
                    <w:tl2br w:val="nil"/>
                    <w:tr2bl w:val="nil"/>
                  </w:tcBorders>
                  <w:vAlign w:val="center"/>
                </w:tcPr>
                <w:p w14:paraId="283167D7">
                  <w:pPr>
                    <w:pStyle w:val="38"/>
                    <w:bidi w:val="0"/>
                    <w:ind w:left="0" w:leftChars="0" w:right="0" w:rightChars="0" w:firstLine="0" w:firstLineChars="0"/>
                    <w:jc w:val="center"/>
                  </w:pPr>
                  <w:r>
                    <w:t>适中</w:t>
                  </w:r>
                </w:p>
              </w:tc>
              <w:tc>
                <w:tcPr>
                  <w:tcW w:w="2065" w:type="dxa"/>
                  <w:tcBorders>
                    <w:tl2br w:val="nil"/>
                    <w:tr2bl w:val="nil"/>
                  </w:tcBorders>
                  <w:vAlign w:val="center"/>
                </w:tcPr>
                <w:p w14:paraId="3A4B14EB">
                  <w:pPr>
                    <w:pStyle w:val="38"/>
                    <w:bidi w:val="0"/>
                    <w:ind w:left="0" w:leftChars="0" w:right="0" w:rightChars="0" w:firstLine="0" w:firstLineChars="0"/>
                    <w:jc w:val="center"/>
                  </w:pPr>
                  <w:r>
                    <w:t>适中</w:t>
                  </w:r>
                </w:p>
              </w:tc>
              <w:tc>
                <w:tcPr>
                  <w:tcW w:w="2130" w:type="dxa"/>
                  <w:tcBorders>
                    <w:tl2br w:val="nil"/>
                    <w:tr2bl w:val="nil"/>
                  </w:tcBorders>
                  <w:vAlign w:val="center"/>
                </w:tcPr>
                <w:p w14:paraId="64DCA8C6">
                  <w:pPr>
                    <w:pStyle w:val="38"/>
                    <w:bidi w:val="0"/>
                    <w:ind w:left="0" w:leftChars="0" w:right="0" w:rightChars="0" w:firstLine="0" w:firstLineChars="0"/>
                    <w:jc w:val="center"/>
                  </w:pPr>
                  <w:r>
                    <w:t>高</w:t>
                  </w:r>
                </w:p>
              </w:tc>
            </w:tr>
            <w:tr w14:paraId="402869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69" w:type="dxa"/>
                  <w:tcBorders>
                    <w:tl2br w:val="nil"/>
                    <w:tr2bl w:val="nil"/>
                  </w:tcBorders>
                  <w:vAlign w:val="center"/>
                </w:tcPr>
                <w:p w14:paraId="2E095C12">
                  <w:pPr>
                    <w:pStyle w:val="38"/>
                    <w:bidi w:val="0"/>
                    <w:ind w:left="0" w:leftChars="0" w:right="0" w:rightChars="0" w:firstLine="0" w:firstLineChars="0"/>
                    <w:jc w:val="center"/>
                  </w:pPr>
                  <w:r>
                    <w:t>污泥产量</w:t>
                  </w:r>
                </w:p>
              </w:tc>
              <w:tc>
                <w:tcPr>
                  <w:tcW w:w="2259" w:type="dxa"/>
                  <w:tcBorders>
                    <w:tl2br w:val="nil"/>
                    <w:tr2bl w:val="nil"/>
                  </w:tcBorders>
                  <w:vAlign w:val="center"/>
                </w:tcPr>
                <w:p w14:paraId="56AAD1B4">
                  <w:pPr>
                    <w:pStyle w:val="38"/>
                    <w:bidi w:val="0"/>
                    <w:ind w:left="0" w:leftChars="0" w:right="0" w:rightChars="0" w:firstLine="0" w:firstLineChars="0"/>
                    <w:jc w:val="center"/>
                  </w:pPr>
                  <w:r>
                    <w:t>适中</w:t>
                  </w:r>
                </w:p>
              </w:tc>
              <w:tc>
                <w:tcPr>
                  <w:tcW w:w="2065" w:type="dxa"/>
                  <w:tcBorders>
                    <w:tl2br w:val="nil"/>
                    <w:tr2bl w:val="nil"/>
                  </w:tcBorders>
                  <w:vAlign w:val="center"/>
                </w:tcPr>
                <w:p w14:paraId="5E57E34D">
                  <w:pPr>
                    <w:pStyle w:val="38"/>
                    <w:bidi w:val="0"/>
                    <w:ind w:left="0" w:leftChars="0" w:right="0" w:rightChars="0" w:firstLine="0" w:firstLineChars="0"/>
                    <w:jc w:val="center"/>
                  </w:pPr>
                  <w:r>
                    <w:t>适中</w:t>
                  </w:r>
                </w:p>
              </w:tc>
              <w:tc>
                <w:tcPr>
                  <w:tcW w:w="2130" w:type="dxa"/>
                  <w:tcBorders>
                    <w:tl2br w:val="nil"/>
                    <w:tr2bl w:val="nil"/>
                  </w:tcBorders>
                  <w:vAlign w:val="center"/>
                </w:tcPr>
                <w:p w14:paraId="1BD8256A">
                  <w:pPr>
                    <w:pStyle w:val="38"/>
                    <w:bidi w:val="0"/>
                    <w:ind w:left="0" w:leftChars="0" w:right="0" w:rightChars="0" w:firstLine="0" w:firstLineChars="0"/>
                    <w:jc w:val="center"/>
                  </w:pPr>
                  <w:r>
                    <w:t>可控</w:t>
                  </w:r>
                </w:p>
              </w:tc>
            </w:tr>
            <w:tr w14:paraId="40DE216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69" w:type="dxa"/>
                  <w:tcBorders>
                    <w:tl2br w:val="nil"/>
                    <w:tr2bl w:val="nil"/>
                  </w:tcBorders>
                  <w:vAlign w:val="center"/>
                </w:tcPr>
                <w:p w14:paraId="6B41B509">
                  <w:pPr>
                    <w:pStyle w:val="38"/>
                    <w:bidi w:val="0"/>
                    <w:ind w:left="0" w:leftChars="0" w:right="0" w:rightChars="0" w:firstLine="0" w:firstLineChars="0"/>
                    <w:jc w:val="center"/>
                  </w:pPr>
                  <w:r>
                    <w:t>能量消耗</w:t>
                  </w:r>
                </w:p>
              </w:tc>
              <w:tc>
                <w:tcPr>
                  <w:tcW w:w="2259" w:type="dxa"/>
                  <w:tcBorders>
                    <w:tl2br w:val="nil"/>
                    <w:tr2bl w:val="nil"/>
                  </w:tcBorders>
                  <w:vAlign w:val="center"/>
                </w:tcPr>
                <w:p w14:paraId="2B0F8F65">
                  <w:pPr>
                    <w:pStyle w:val="38"/>
                    <w:bidi w:val="0"/>
                    <w:ind w:left="0" w:leftChars="0" w:right="0" w:rightChars="0" w:firstLine="0" w:firstLineChars="0"/>
                    <w:jc w:val="center"/>
                  </w:pPr>
                  <w:r>
                    <w:t>适中</w:t>
                  </w:r>
                </w:p>
              </w:tc>
              <w:tc>
                <w:tcPr>
                  <w:tcW w:w="2065" w:type="dxa"/>
                  <w:tcBorders>
                    <w:tl2br w:val="nil"/>
                    <w:tr2bl w:val="nil"/>
                  </w:tcBorders>
                  <w:vAlign w:val="center"/>
                </w:tcPr>
                <w:p w14:paraId="5FE7B216">
                  <w:pPr>
                    <w:pStyle w:val="38"/>
                    <w:bidi w:val="0"/>
                    <w:ind w:left="0" w:leftChars="0" w:right="0" w:rightChars="0" w:firstLine="0" w:firstLineChars="0"/>
                    <w:jc w:val="center"/>
                  </w:pPr>
                  <w:r>
                    <w:t>较低（因延时曝气）</w:t>
                  </w:r>
                </w:p>
              </w:tc>
              <w:tc>
                <w:tcPr>
                  <w:tcW w:w="2130" w:type="dxa"/>
                  <w:tcBorders>
                    <w:tl2br w:val="nil"/>
                    <w:tr2bl w:val="nil"/>
                  </w:tcBorders>
                  <w:vAlign w:val="center"/>
                </w:tcPr>
                <w:p w14:paraId="1F87ED2C">
                  <w:pPr>
                    <w:pStyle w:val="38"/>
                    <w:bidi w:val="0"/>
                    <w:ind w:left="0" w:leftChars="0" w:right="0" w:rightChars="0" w:firstLine="0" w:firstLineChars="0"/>
                    <w:jc w:val="center"/>
                  </w:pPr>
                  <w:r>
                    <w:t>可调节</w:t>
                  </w:r>
                </w:p>
              </w:tc>
            </w:tr>
          </w:tbl>
          <w:p w14:paraId="6790E421">
            <w:pPr>
              <w:pStyle w:val="36"/>
              <w:ind w:firstLine="480"/>
              <w:rPr>
                <w:rFonts w:hint="default"/>
              </w:rPr>
            </w:pPr>
            <w:r>
              <w:rPr>
                <w:rFonts w:hint="default"/>
              </w:rPr>
              <w:t>综上所述，本项目二级处理工艺选择AAO工艺。主要是AAO工艺通过其特定的厌氧、缺氧、好氧阶段，能够高效的有机物、高脱氮除磷效果、适应性强、出水质量高以及环保与经济效益等方面的优势。</w:t>
            </w:r>
          </w:p>
          <w:p w14:paraId="44379071">
            <w:pPr>
              <w:pStyle w:val="36"/>
              <w:ind w:firstLine="480"/>
              <w:rPr>
                <w:rFonts w:hint="default"/>
                <w:b/>
                <w:bCs/>
              </w:rPr>
            </w:pPr>
            <w:r>
              <w:rPr>
                <w:rFonts w:hint="eastAsia"/>
                <w:b/>
                <w:bCs/>
                <w:lang w:val="en-US" w:eastAsia="zh-CN"/>
              </w:rPr>
              <w:t>4、</w:t>
            </w:r>
            <w:r>
              <w:rPr>
                <w:rFonts w:hint="default"/>
                <w:b/>
                <w:bCs/>
              </w:rPr>
              <w:t>深度处理工艺论证</w:t>
            </w:r>
          </w:p>
          <w:p w14:paraId="1FA1B8B7">
            <w:pPr>
              <w:pStyle w:val="36"/>
              <w:ind w:firstLine="480"/>
              <w:rPr>
                <w:rFonts w:hint="default"/>
              </w:rPr>
            </w:pPr>
            <w:r>
              <w:rPr>
                <w:rFonts w:hint="default"/>
              </w:rPr>
              <w:t>根据出水水质要求，仅采用二级生物处理工艺处理，污水处理出水不能达到</w:t>
            </w:r>
          </w:p>
          <w:p w14:paraId="4D907C45">
            <w:pPr>
              <w:pStyle w:val="36"/>
              <w:ind w:firstLine="480"/>
              <w:rPr>
                <w:rFonts w:hint="default"/>
              </w:rPr>
            </w:pPr>
            <w:r>
              <w:rPr>
                <w:rFonts w:hint="default"/>
              </w:rPr>
              <w:t>出水标准，必须增加深度处理工艺，深度处理主要去除对象是氮、磷、微细悬浮物、色度、微量有机物和无机盐等。</w:t>
            </w:r>
          </w:p>
          <w:p w14:paraId="5B420B40">
            <w:pPr>
              <w:pStyle w:val="36"/>
              <w:ind w:firstLine="480"/>
              <w:rPr>
                <w:rFonts w:hint="default"/>
              </w:rPr>
            </w:pPr>
            <w:r>
              <w:rPr>
                <w:rFonts w:hint="default"/>
              </w:rPr>
              <w:t>根据《污水再生利用工程设计规范》（GB50335-2002），城市污水再生处</w:t>
            </w:r>
            <w:r>
              <w:rPr>
                <w:rFonts w:hint="eastAsia"/>
                <w:lang w:eastAsia="zh-CN"/>
              </w:rPr>
              <w:t>适宜</w:t>
            </w:r>
            <w:r>
              <w:rPr>
                <w:rFonts w:hint="default"/>
              </w:rPr>
              <w:t>选用下列基本工艺：</w:t>
            </w:r>
          </w:p>
          <w:p w14:paraId="1026B27C">
            <w:pPr>
              <w:pStyle w:val="36"/>
              <w:ind w:firstLine="480"/>
              <w:rPr>
                <w:rFonts w:hint="default"/>
              </w:rPr>
            </w:pPr>
            <w:r>
              <w:rPr>
                <w:rFonts w:hint="default"/>
              </w:rPr>
              <w:t>二级处理—消毒</w:t>
            </w:r>
          </w:p>
          <w:p w14:paraId="29F1F204">
            <w:pPr>
              <w:pStyle w:val="36"/>
              <w:ind w:firstLine="480"/>
              <w:rPr>
                <w:rFonts w:hint="default"/>
              </w:rPr>
            </w:pPr>
            <w:r>
              <w:rPr>
                <w:rFonts w:hint="default"/>
              </w:rPr>
              <w:t>二级处理—过滤—消毒</w:t>
            </w:r>
          </w:p>
          <w:p w14:paraId="6A99FB6C">
            <w:pPr>
              <w:pStyle w:val="36"/>
              <w:ind w:firstLine="480"/>
              <w:rPr>
                <w:rFonts w:hint="default"/>
              </w:rPr>
            </w:pPr>
            <w:r>
              <w:rPr>
                <w:rFonts w:hint="default"/>
              </w:rPr>
              <w:t>二级处理—混凝—沉淀—过滤—消毒</w:t>
            </w:r>
          </w:p>
          <w:p w14:paraId="7F78D9AB">
            <w:pPr>
              <w:pStyle w:val="36"/>
              <w:ind w:firstLine="480"/>
              <w:rPr>
                <w:rFonts w:hint="default"/>
              </w:rPr>
            </w:pPr>
            <w:r>
              <w:rPr>
                <w:rFonts w:hint="default"/>
              </w:rPr>
              <w:t>二级处理—微孔过滤—消毒</w:t>
            </w:r>
          </w:p>
          <w:p w14:paraId="536039DA">
            <w:pPr>
              <w:pStyle w:val="36"/>
              <w:ind w:firstLine="480"/>
              <w:rPr>
                <w:rFonts w:hint="default"/>
              </w:rPr>
            </w:pPr>
            <w:r>
              <w:rPr>
                <w:rFonts w:hint="default"/>
              </w:rPr>
              <w:t>当用户对再生水水质有更高要求时，可增加深度处理其他单元技术中的一种或几种组合。其他单元技术有：活性炭吸附、臭氧-活性炭、脱氨、离子交换、超滤、纳滤、反渗透、膜生物反应器、曝气</w:t>
            </w:r>
            <w:r>
              <w:rPr>
                <w:rFonts w:hint="eastAsia"/>
                <w:lang w:eastAsia="zh-CN"/>
              </w:rPr>
              <w:t>生物滤池</w:t>
            </w:r>
            <w:r>
              <w:rPr>
                <w:rFonts w:hint="default"/>
              </w:rPr>
              <w:t>、臭氧氧化、自然净化系统等。</w:t>
            </w:r>
          </w:p>
          <w:p w14:paraId="4ECE5D28">
            <w:pPr>
              <w:pStyle w:val="36"/>
              <w:ind w:firstLine="480"/>
              <w:rPr>
                <w:rFonts w:hint="default"/>
              </w:rPr>
            </w:pPr>
            <w:r>
              <w:rPr>
                <w:rFonts w:hint="default"/>
              </w:rPr>
              <w:t>根据国内外城市污水再生处理厂回用情况，综合考虑技术、经济因素，选取以下几种深度处理技术介绍：</w:t>
            </w:r>
          </w:p>
          <w:p w14:paraId="7DCACF47">
            <w:pPr>
              <w:pStyle w:val="36"/>
              <w:ind w:firstLine="480"/>
              <w:rPr>
                <w:rFonts w:hint="default"/>
              </w:rPr>
            </w:pPr>
            <w:r>
              <w:rPr>
                <w:rFonts w:hint="eastAsia"/>
                <w:lang w:eastAsia="zh-CN"/>
              </w:rPr>
              <w:t>（</w:t>
            </w:r>
            <w:r>
              <w:rPr>
                <w:rFonts w:hint="eastAsia"/>
                <w:lang w:val="en-US" w:eastAsia="zh-CN"/>
              </w:rPr>
              <w:t>1</w:t>
            </w:r>
            <w:r>
              <w:rPr>
                <w:rFonts w:hint="eastAsia"/>
                <w:lang w:eastAsia="zh-CN"/>
              </w:rPr>
              <w:t>）</w:t>
            </w:r>
            <w:r>
              <w:rPr>
                <w:rFonts w:hint="default"/>
              </w:rPr>
              <w:t>混凝沉淀</w:t>
            </w:r>
          </w:p>
          <w:p w14:paraId="1A234B1C">
            <w:pPr>
              <w:pStyle w:val="36"/>
              <w:ind w:firstLine="480"/>
              <w:rPr>
                <w:rFonts w:hint="default"/>
              </w:rPr>
            </w:pPr>
            <w:r>
              <w:rPr>
                <w:rFonts w:hint="default"/>
              </w:rPr>
              <w:t>混凝沉淀工艺去除的对象是污水中呈胶体和微小悬浮状态的有机和无机污染物，也即去除污水的色度和浊度。混凝沉淀还可以去除污水中的某些溶解性物质，以及氮、磷等。</w:t>
            </w:r>
          </w:p>
          <w:p w14:paraId="0FE4E4CA">
            <w:pPr>
              <w:pStyle w:val="36"/>
              <w:ind w:firstLine="480"/>
              <w:rPr>
                <w:rFonts w:hint="default"/>
              </w:rPr>
            </w:pPr>
            <w:r>
              <w:rPr>
                <w:rFonts w:hint="eastAsia" w:ascii="宋体" w:hAnsi="宋体" w:eastAsia="宋体" w:cs="宋体"/>
              </w:rPr>
              <w:t>①</w:t>
            </w:r>
            <w:r>
              <w:rPr>
                <w:rFonts w:hint="default"/>
              </w:rPr>
              <w:t>高效沉淀池</w:t>
            </w:r>
          </w:p>
          <w:p w14:paraId="59086A22">
            <w:pPr>
              <w:pStyle w:val="36"/>
              <w:ind w:firstLine="480"/>
              <w:rPr>
                <w:rFonts w:hint="default"/>
              </w:rPr>
            </w:pPr>
            <w:r>
              <w:rPr>
                <w:rFonts w:hint="default"/>
              </w:rPr>
              <w:t>传统的平流式、辐流式沉淀池工艺已经过近百年的发展，技术上已经成熟，近年来，国外对原有工艺进一步改进优化，开发成功新型高效沉淀池，并且在实际工程中逐步得到推广应用，并取得了良好的效果。这种工艺实际上把混合/絮凝/沉淀进行重新组合，混合、絮凝采用机械方式搅拌方式，沉淀采用斜管装置，与普通平流式沉淀池相比，可大幅度提高水力负荷。斜管沉淀技术早</w:t>
            </w:r>
            <w:r>
              <w:rPr>
                <w:rFonts w:hint="eastAsia"/>
                <w:lang w:eastAsia="zh-CN"/>
              </w:rPr>
              <w:t>在20世纪80年代初</w:t>
            </w:r>
            <w:r>
              <w:rPr>
                <w:rFonts w:hint="default"/>
              </w:rPr>
              <w:t>就在国内的污水处理领域中得到应用，并且一直工作正常。由于混合、絮凝和斜管沉淀组合合理，使新的高效沉淀池具有如下优点：</w:t>
            </w:r>
          </w:p>
          <w:p w14:paraId="7ABE767A">
            <w:pPr>
              <w:pStyle w:val="36"/>
              <w:ind w:firstLine="480"/>
              <w:rPr>
                <w:rFonts w:hint="default"/>
              </w:rPr>
            </w:pPr>
            <w:r>
              <w:rPr>
                <w:rFonts w:hint="default"/>
              </w:rPr>
              <w:t>1）水力负荷高，沉淀区表面负荷约为20~25</w:t>
            </w:r>
            <w:r>
              <w:t>m</w:t>
            </w:r>
            <w:r>
              <w:rPr>
                <w:vertAlign w:val="superscript"/>
              </w:rPr>
              <w:t>3</w:t>
            </w:r>
            <w:r>
              <w:rPr>
                <w:rFonts w:hint="default"/>
              </w:rPr>
              <w:t>/m2·hr，大大超过常规沉淀池的表面负荷。</w:t>
            </w:r>
          </w:p>
          <w:p w14:paraId="3C930F41">
            <w:pPr>
              <w:pStyle w:val="36"/>
              <w:ind w:firstLine="480"/>
              <w:rPr>
                <w:rFonts w:hint="default"/>
              </w:rPr>
            </w:pPr>
            <w:r>
              <w:rPr>
                <w:rFonts w:hint="default"/>
              </w:rPr>
              <w:t>2）污染物去除率高，COD</w:t>
            </w:r>
            <w:r>
              <w:rPr>
                <w:rFonts w:hint="default"/>
                <w:vertAlign w:val="subscript"/>
              </w:rPr>
              <w:t>Cr</w:t>
            </w:r>
            <w:r>
              <w:rPr>
                <w:rFonts w:hint="default"/>
              </w:rPr>
              <w:t>、BOD</w:t>
            </w:r>
            <w:r>
              <w:rPr>
                <w:rFonts w:hint="default"/>
                <w:vertAlign w:val="subscript"/>
              </w:rPr>
              <w:t>5</w:t>
            </w:r>
            <w:r>
              <w:rPr>
                <w:rFonts w:hint="default"/>
              </w:rPr>
              <w:t>、和SS的去除率分别可达到60%、60%和85%，磷的去除率可高至90%。</w:t>
            </w:r>
          </w:p>
          <w:p w14:paraId="451F9EB8">
            <w:pPr>
              <w:pStyle w:val="36"/>
              <w:ind w:firstLine="480"/>
              <w:rPr>
                <w:rFonts w:hint="default"/>
              </w:rPr>
            </w:pPr>
            <w:r>
              <w:rPr>
                <w:rFonts w:hint="default"/>
              </w:rPr>
              <w:t>由于加强了反应池内部循环并增加了外部污泥循环，提高了分子间相互接触</w:t>
            </w:r>
            <w:r>
              <w:rPr>
                <w:rFonts w:hint="eastAsia"/>
                <w:lang w:eastAsia="zh-CN"/>
              </w:rPr>
              <w:t>的概率</w:t>
            </w:r>
            <w:r>
              <w:rPr>
                <w:rFonts w:hint="default"/>
              </w:rPr>
              <w:t>，使絮凝剂在循环中得到充分利用，减少了药剂投加量，降低了运行成本。</w:t>
            </w:r>
          </w:p>
          <w:p w14:paraId="73957B67">
            <w:pPr>
              <w:pStyle w:val="36"/>
              <w:ind w:firstLine="480"/>
              <w:rPr>
                <w:rFonts w:hint="default"/>
              </w:rPr>
            </w:pPr>
            <w:r>
              <w:rPr>
                <w:rFonts w:hint="default"/>
              </w:rPr>
              <w:t>在沉淀区分离出的污泥在浓缩区进行浓缩，提高了污泥的含水率，使污泥含水率达到98%。</w:t>
            </w:r>
          </w:p>
          <w:p w14:paraId="128AB6D6">
            <w:pPr>
              <w:pStyle w:val="36"/>
              <w:ind w:firstLine="480"/>
              <w:rPr>
                <w:rFonts w:hint="default"/>
              </w:rPr>
            </w:pPr>
            <w:r>
              <w:rPr>
                <w:rFonts w:hint="eastAsia" w:ascii="宋体" w:hAnsi="宋体" w:eastAsia="宋体" w:cs="宋体"/>
              </w:rPr>
              <w:t>②</w:t>
            </w:r>
            <w:r>
              <w:rPr>
                <w:rFonts w:hint="default"/>
              </w:rPr>
              <w:t>重介质加载混凝澄清池</w:t>
            </w:r>
          </w:p>
          <w:p w14:paraId="7D877B75">
            <w:pPr>
              <w:pStyle w:val="36"/>
              <w:ind w:firstLine="480"/>
              <w:rPr>
                <w:rFonts w:hint="default"/>
              </w:rPr>
            </w:pPr>
            <w:r>
              <w:rPr>
                <w:rFonts w:hint="default"/>
              </w:rPr>
              <w:t>在高效沉淀池中加载磁粉或微砂等重介质载体，强化形成高密度大体积的均匀絮体，实现絮体与水的高速分离和污染物的高效去除。常用的重介质有磁粉和微砂。</w:t>
            </w:r>
          </w:p>
          <w:p w14:paraId="1532B3F4">
            <w:pPr>
              <w:pStyle w:val="36"/>
              <w:ind w:firstLine="480"/>
              <w:rPr>
                <w:rFonts w:hint="default"/>
              </w:rPr>
            </w:pPr>
            <w:r>
              <w:rPr>
                <w:rFonts w:hint="default"/>
              </w:rPr>
              <w:t>磁混凝澄清技术就是在高效沉淀池工艺中同步加入磁粉，以微小磁粉作为晶核，使污水中更容易形成混凝絮体，同时加强混凝、絮凝的效果，使生成的絮体密度更大、更结实。磁粉的密度约为5.0，可大大增加了混凝絮体的比重，加快絮体的沉降速度。由于其高速沉淀的性能，使其与传统工艺相比，具有速度快、效率高、占地面积小等诸多优点。出水SS可以稳定在10mg/L以下，TP≤0.5mg/l甚至更低。磁粉的回收及循环利用是磁混凝技术的核心，目前磁粉回收率可达到99%。</w:t>
            </w:r>
          </w:p>
          <w:p w14:paraId="40792F64">
            <w:pPr>
              <w:pStyle w:val="36"/>
              <w:ind w:firstLine="480"/>
              <w:rPr>
                <w:rFonts w:hint="eastAsia"/>
                <w:lang w:eastAsia="zh-CN"/>
              </w:rPr>
            </w:pPr>
            <w:r>
              <w:rPr>
                <w:rFonts w:hint="eastAsia"/>
                <w:lang w:eastAsia="zh-CN"/>
              </w:rPr>
              <w:t>磁混凝澄清池是水沉淀技术的一种创新，集合了多种沉淀技术的特点，具体如下：</w:t>
            </w:r>
          </w:p>
          <w:p w14:paraId="0B02018F">
            <w:pPr>
              <w:pStyle w:val="36"/>
              <w:ind w:firstLine="480"/>
              <w:rPr>
                <w:rFonts w:hint="eastAsia"/>
                <w:lang w:eastAsia="zh-CN"/>
              </w:rPr>
            </w:pPr>
            <w:r>
              <w:rPr>
                <w:rFonts w:hint="eastAsia"/>
                <w:lang w:val="en-US" w:eastAsia="zh-CN"/>
              </w:rPr>
              <w:t>1</w:t>
            </w:r>
            <w:r>
              <w:rPr>
                <w:rFonts w:hint="eastAsia"/>
                <w:lang w:eastAsia="zh-CN"/>
              </w:rPr>
              <w:t>）沉淀效率高</w:t>
            </w:r>
          </w:p>
          <w:p w14:paraId="7DDAC3EB">
            <w:pPr>
              <w:pStyle w:val="36"/>
              <w:ind w:firstLine="480"/>
              <w:rPr>
                <w:rFonts w:hint="eastAsia"/>
                <w:lang w:eastAsia="zh-CN"/>
              </w:rPr>
            </w:pPr>
            <w:r>
              <w:rPr>
                <w:rFonts w:hint="eastAsia"/>
                <w:lang w:eastAsia="zh-CN"/>
              </w:rPr>
              <w:t>磁混凝澄清池为形成能快速沉淀的矾化创造了良好的条件，同时辅以斜管分离的特性以及完善的水力设计，使系统的上升流速可以做到很高。在常规污水处理中，其水力上升流速高达20~40m/h；</w:t>
            </w:r>
          </w:p>
          <w:p w14:paraId="12EE793C">
            <w:pPr>
              <w:pStyle w:val="36"/>
              <w:ind w:firstLine="480"/>
              <w:rPr>
                <w:rFonts w:hint="eastAsia"/>
                <w:lang w:eastAsia="zh-CN"/>
              </w:rPr>
            </w:pPr>
            <w:r>
              <w:rPr>
                <w:rFonts w:hint="eastAsia"/>
                <w:lang w:val="en-US" w:eastAsia="zh-CN"/>
              </w:rPr>
              <w:t>2</w:t>
            </w:r>
            <w:r>
              <w:rPr>
                <w:rFonts w:hint="eastAsia"/>
                <w:lang w:eastAsia="zh-CN"/>
              </w:rPr>
              <w:t>）出水稳定性好</w:t>
            </w:r>
          </w:p>
          <w:p w14:paraId="30F16D72">
            <w:pPr>
              <w:pStyle w:val="36"/>
              <w:ind w:firstLine="480"/>
              <w:rPr>
                <w:rFonts w:hint="eastAsia"/>
                <w:lang w:eastAsia="zh-CN"/>
              </w:rPr>
            </w:pPr>
            <w:r>
              <w:rPr>
                <w:rFonts w:hint="eastAsia"/>
                <w:lang w:eastAsia="zh-CN"/>
              </w:rPr>
              <w:t>良好的混凝絮凝条件，加强了对污染物的捕捉和聚集，斜管对剩余矾化的去除可产生优质出水。悬浮物去除能力可以媲美常规过滤，一般污水深度处理SS可稳定小于10mg/L，浊度可小于1NTU，总磷可小于0.3mg/L；</w:t>
            </w:r>
          </w:p>
          <w:p w14:paraId="13A0489C">
            <w:pPr>
              <w:pStyle w:val="36"/>
              <w:ind w:firstLine="480"/>
              <w:rPr>
                <w:rFonts w:hint="eastAsia"/>
                <w:lang w:eastAsia="zh-CN"/>
              </w:rPr>
            </w:pPr>
            <w:r>
              <w:rPr>
                <w:rFonts w:hint="eastAsia"/>
                <w:lang w:val="en-US" w:eastAsia="zh-CN"/>
              </w:rPr>
              <w:t>3</w:t>
            </w:r>
            <w:r>
              <w:rPr>
                <w:rFonts w:hint="eastAsia"/>
                <w:lang w:eastAsia="zh-CN"/>
              </w:rPr>
              <w:t>）占地面积小</w:t>
            </w:r>
          </w:p>
          <w:p w14:paraId="3F603B74">
            <w:pPr>
              <w:pStyle w:val="36"/>
              <w:ind w:firstLine="480"/>
              <w:rPr>
                <w:rFonts w:hint="eastAsia"/>
                <w:lang w:eastAsia="zh-CN"/>
              </w:rPr>
            </w:pPr>
            <w:r>
              <w:rPr>
                <w:rFonts w:hint="eastAsia"/>
                <w:lang w:eastAsia="zh-CN"/>
              </w:rPr>
              <w:t>超高的上升流速使磁混凝澄清池成为当前最节约占地的系统之一，比当前普遍使用的高效沉淀池还少30%以上的占地；</w:t>
            </w:r>
          </w:p>
          <w:p w14:paraId="0B4CAEC3">
            <w:pPr>
              <w:pStyle w:val="36"/>
              <w:ind w:firstLine="480"/>
              <w:rPr>
                <w:rFonts w:hint="eastAsia"/>
                <w:lang w:eastAsia="zh-CN"/>
              </w:rPr>
            </w:pPr>
            <w:r>
              <w:rPr>
                <w:rFonts w:hint="eastAsia"/>
                <w:lang w:val="en-US" w:eastAsia="zh-CN"/>
              </w:rPr>
              <w:t>4）</w:t>
            </w:r>
            <w:r>
              <w:rPr>
                <w:rFonts w:hint="eastAsia"/>
                <w:lang w:eastAsia="zh-CN"/>
              </w:rPr>
              <w:t>抗冲击能力强</w:t>
            </w:r>
          </w:p>
          <w:p w14:paraId="052EDCE1">
            <w:pPr>
              <w:pStyle w:val="36"/>
              <w:ind w:firstLine="480"/>
              <w:rPr>
                <w:rFonts w:hint="eastAsia"/>
                <w:lang w:eastAsia="zh-CN"/>
              </w:rPr>
            </w:pPr>
            <w:r>
              <w:rPr>
                <w:rFonts w:hint="eastAsia"/>
                <w:lang w:eastAsia="zh-CN"/>
              </w:rPr>
              <w:t>通过污泥回流来控制絮凝反应池极高的污泥浓度（4~8g/L左右）是磁混凝澄清池的正常工况，实际运行中可接受2g/L左右的悬浮物突然变化而出水水质不受影响。</w:t>
            </w:r>
          </w:p>
          <w:p w14:paraId="057A15C6">
            <w:pPr>
              <w:pStyle w:val="36"/>
              <w:ind w:firstLine="480"/>
              <w:rPr>
                <w:rFonts w:hint="default"/>
              </w:rPr>
            </w:pPr>
            <w:r>
              <w:rPr>
                <w:rFonts w:hint="eastAsia"/>
                <w:lang w:eastAsia="zh-CN"/>
              </w:rPr>
              <w:t>（</w:t>
            </w:r>
            <w:r>
              <w:rPr>
                <w:rFonts w:hint="eastAsia"/>
                <w:lang w:val="en-US" w:eastAsia="zh-CN"/>
              </w:rPr>
              <w:t>2</w:t>
            </w:r>
            <w:r>
              <w:rPr>
                <w:rFonts w:hint="eastAsia"/>
                <w:lang w:eastAsia="zh-CN"/>
              </w:rPr>
              <w:t>）</w:t>
            </w:r>
            <w:r>
              <w:rPr>
                <w:rFonts w:hint="default"/>
              </w:rPr>
              <w:t>过滤</w:t>
            </w:r>
          </w:p>
          <w:p w14:paraId="4BBDD675">
            <w:pPr>
              <w:pStyle w:val="36"/>
              <w:ind w:firstLine="480"/>
              <w:rPr>
                <w:rFonts w:hint="default"/>
              </w:rPr>
            </w:pPr>
            <w:r>
              <w:rPr>
                <w:rFonts w:hint="default"/>
              </w:rPr>
              <w:t>过滤的作用是：去除生物过程和化学澄清中未能沉降的颗粒和胶状物质；增加悬浮固体、浊度、磷、BOD</w:t>
            </w:r>
            <w:r>
              <w:rPr>
                <w:rFonts w:hint="default"/>
                <w:vertAlign w:val="subscript"/>
              </w:rPr>
              <w:t>5</w:t>
            </w:r>
            <w:r>
              <w:rPr>
                <w:rFonts w:hint="default"/>
              </w:rPr>
              <w:t>、COD</w:t>
            </w:r>
            <w:r>
              <w:rPr>
                <w:rFonts w:hint="default"/>
                <w:vertAlign w:val="subscript"/>
              </w:rPr>
              <w:t>Cr</w:t>
            </w:r>
            <w:r>
              <w:rPr>
                <w:rFonts w:hint="default"/>
              </w:rPr>
              <w:t>、重金属、细菌、病毒等指标的去除效率；增进消毒效率，降低消毒剂用量；使后续吸附装置免于堵塞，提高吸附效率。</w:t>
            </w:r>
          </w:p>
          <w:p w14:paraId="2E4FB439">
            <w:pPr>
              <w:pStyle w:val="36"/>
              <w:ind w:firstLine="480"/>
              <w:rPr>
                <w:rFonts w:hint="default"/>
              </w:rPr>
            </w:pPr>
            <w:r>
              <w:rPr>
                <w:rFonts w:hint="default"/>
              </w:rPr>
              <w:t>常用过滤工艺包括砂滤池、滤布滤池、纤维滤池、反硝化</w:t>
            </w:r>
            <w:r>
              <w:rPr>
                <w:rFonts w:hint="eastAsia"/>
                <w:lang w:eastAsia="zh-CN"/>
              </w:rPr>
              <w:t>生物滤池</w:t>
            </w:r>
            <w:r>
              <w:rPr>
                <w:rFonts w:hint="default"/>
              </w:rPr>
              <w:t>等。</w:t>
            </w:r>
          </w:p>
          <w:p w14:paraId="492BDF58">
            <w:pPr>
              <w:pStyle w:val="36"/>
              <w:ind w:firstLine="480"/>
              <w:rPr>
                <w:rFonts w:hint="default"/>
              </w:rPr>
            </w:pPr>
            <w:r>
              <w:rPr>
                <w:rFonts w:hint="default"/>
              </w:rPr>
              <w:t>滤池的种类根据其结构、运行方式、滤料等的不同，可以分为许多种。污水处理中常用的过滤滤池主要有砂滤系列、纤维滤池系列、滤布滤池系列及</w:t>
            </w:r>
            <w:r>
              <w:rPr>
                <w:rFonts w:hint="eastAsia"/>
                <w:lang w:eastAsia="zh-CN"/>
              </w:rPr>
              <w:t>生物滤池</w:t>
            </w:r>
            <w:r>
              <w:rPr>
                <w:rFonts w:hint="default"/>
              </w:rPr>
              <w:t>系列，各系列在污水处理行业成功应用的过滤工艺详见下表。</w:t>
            </w:r>
          </w:p>
          <w:p w14:paraId="47863F15">
            <w:pPr>
              <w:pStyle w:val="52"/>
              <w:bidi w:val="0"/>
              <w:rPr>
                <w:rFonts w:hint="eastAsia"/>
                <w:lang w:val="en-US" w:eastAsia="zh-CN"/>
              </w:rPr>
            </w:pPr>
            <w:r>
              <w:rPr>
                <w:rFonts w:hint="default"/>
              </w:rPr>
              <w:t>污水处理中常用的过滤工艺</w:t>
            </w:r>
            <w:r>
              <w:rPr>
                <w:rFonts w:hint="eastAsia"/>
                <w:lang w:val="en-US" w:eastAsia="zh-CN"/>
              </w:rPr>
              <w:t>一览表</w:t>
            </w:r>
          </w:p>
          <w:tbl>
            <w:tblPr>
              <w:tblStyle w:val="129"/>
              <w:tblW w:w="8522" w:type="dxa"/>
              <w:tblInd w:w="25"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726"/>
              <w:gridCol w:w="6796"/>
            </w:tblGrid>
            <w:tr w14:paraId="1A95997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26" w:type="dxa"/>
                  <w:tcBorders>
                    <w:tl2br w:val="nil"/>
                    <w:tr2bl w:val="nil"/>
                  </w:tcBorders>
                  <w:vAlign w:val="center"/>
                </w:tcPr>
                <w:p w14:paraId="3AD72D99">
                  <w:pPr>
                    <w:pStyle w:val="38"/>
                    <w:bidi w:val="0"/>
                    <w:ind w:left="0" w:leftChars="0" w:right="0" w:rightChars="0" w:firstLine="0" w:firstLineChars="0"/>
                    <w:jc w:val="center"/>
                    <w:rPr>
                      <w:b/>
                      <w:bCs/>
                    </w:rPr>
                  </w:pPr>
                  <w:r>
                    <w:rPr>
                      <w:b/>
                      <w:bCs/>
                    </w:rPr>
                    <w:t>系列</w:t>
                  </w:r>
                </w:p>
              </w:tc>
              <w:tc>
                <w:tcPr>
                  <w:tcW w:w="6796" w:type="dxa"/>
                  <w:tcBorders>
                    <w:tl2br w:val="nil"/>
                    <w:tr2bl w:val="nil"/>
                  </w:tcBorders>
                  <w:vAlign w:val="center"/>
                </w:tcPr>
                <w:p w14:paraId="00B70DC0">
                  <w:pPr>
                    <w:pStyle w:val="38"/>
                    <w:bidi w:val="0"/>
                    <w:ind w:left="0" w:leftChars="0" w:right="0" w:rightChars="0" w:firstLine="0" w:firstLineChars="0"/>
                    <w:jc w:val="center"/>
                    <w:rPr>
                      <w:b/>
                      <w:bCs/>
                    </w:rPr>
                  </w:pPr>
                  <w:r>
                    <w:rPr>
                      <w:b/>
                      <w:bCs/>
                    </w:rPr>
                    <w:t>派生工艺</w:t>
                  </w:r>
                </w:p>
              </w:tc>
            </w:tr>
            <w:tr w14:paraId="79EEC5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26" w:type="dxa"/>
                  <w:tcBorders>
                    <w:tl2br w:val="nil"/>
                    <w:tr2bl w:val="nil"/>
                  </w:tcBorders>
                  <w:vAlign w:val="center"/>
                </w:tcPr>
                <w:p w14:paraId="7410C38D">
                  <w:pPr>
                    <w:pStyle w:val="38"/>
                    <w:bidi w:val="0"/>
                    <w:ind w:left="0" w:leftChars="0" w:right="0" w:rightChars="0" w:firstLine="0" w:firstLineChars="0"/>
                    <w:jc w:val="center"/>
                  </w:pPr>
                  <w:r>
                    <w:t>砂滤池系列</w:t>
                  </w:r>
                </w:p>
              </w:tc>
              <w:tc>
                <w:tcPr>
                  <w:tcW w:w="6796" w:type="dxa"/>
                  <w:tcBorders>
                    <w:tl2br w:val="nil"/>
                    <w:tr2bl w:val="nil"/>
                  </w:tcBorders>
                  <w:vAlign w:val="center"/>
                </w:tcPr>
                <w:p w14:paraId="079E21BC">
                  <w:pPr>
                    <w:pStyle w:val="38"/>
                    <w:bidi w:val="0"/>
                    <w:ind w:left="0" w:leftChars="0" w:right="0" w:rightChars="0" w:firstLine="0" w:firstLineChars="0"/>
                    <w:jc w:val="center"/>
                  </w:pPr>
                  <w:r>
                    <w:t>普通砂滤池、V砂滤池、活性砂滤池</w:t>
                  </w:r>
                </w:p>
              </w:tc>
            </w:tr>
            <w:tr w14:paraId="4C1B0F2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26" w:type="dxa"/>
                  <w:tcBorders>
                    <w:tl2br w:val="nil"/>
                    <w:tr2bl w:val="nil"/>
                  </w:tcBorders>
                  <w:vAlign w:val="center"/>
                </w:tcPr>
                <w:p w14:paraId="6C55F548">
                  <w:pPr>
                    <w:pStyle w:val="38"/>
                    <w:bidi w:val="0"/>
                    <w:ind w:left="0" w:leftChars="0" w:right="0" w:rightChars="0" w:firstLine="0" w:firstLineChars="0"/>
                    <w:jc w:val="center"/>
                  </w:pPr>
                  <w:r>
                    <w:t>纤维滤池系列</w:t>
                  </w:r>
                </w:p>
              </w:tc>
              <w:tc>
                <w:tcPr>
                  <w:tcW w:w="6796" w:type="dxa"/>
                  <w:tcBorders>
                    <w:tl2br w:val="nil"/>
                    <w:tr2bl w:val="nil"/>
                  </w:tcBorders>
                  <w:vAlign w:val="center"/>
                </w:tcPr>
                <w:p w14:paraId="2EDBEA7F">
                  <w:pPr>
                    <w:pStyle w:val="38"/>
                    <w:bidi w:val="0"/>
                    <w:ind w:left="0" w:leftChars="0" w:right="0" w:rightChars="0" w:firstLine="0" w:firstLineChars="0"/>
                    <w:jc w:val="center"/>
                  </w:pPr>
                  <w:r>
                    <w:t>纤维束滤池、纤维球滤池</w:t>
                  </w:r>
                </w:p>
              </w:tc>
            </w:tr>
            <w:tr w14:paraId="79A444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26" w:type="dxa"/>
                  <w:tcBorders>
                    <w:tl2br w:val="nil"/>
                    <w:tr2bl w:val="nil"/>
                  </w:tcBorders>
                  <w:vAlign w:val="center"/>
                </w:tcPr>
                <w:p w14:paraId="56329D6A">
                  <w:pPr>
                    <w:pStyle w:val="38"/>
                    <w:bidi w:val="0"/>
                    <w:ind w:left="0" w:leftChars="0" w:right="0" w:rightChars="0" w:firstLine="0" w:firstLineChars="0"/>
                    <w:jc w:val="center"/>
                  </w:pPr>
                  <w:r>
                    <w:t>滤布滤池系列</w:t>
                  </w:r>
                </w:p>
              </w:tc>
              <w:tc>
                <w:tcPr>
                  <w:tcW w:w="6796" w:type="dxa"/>
                  <w:tcBorders>
                    <w:tl2br w:val="nil"/>
                    <w:tr2bl w:val="nil"/>
                  </w:tcBorders>
                  <w:vAlign w:val="center"/>
                </w:tcPr>
                <w:p w14:paraId="7EC21632">
                  <w:pPr>
                    <w:pStyle w:val="38"/>
                    <w:bidi w:val="0"/>
                    <w:ind w:left="0" w:leftChars="0" w:right="0" w:rightChars="0" w:firstLine="0" w:firstLineChars="0"/>
                    <w:jc w:val="center"/>
                  </w:pPr>
                  <w:r>
                    <w:t>外进内出的滤布滤池、内进外出的滤布滤池</w:t>
                  </w:r>
                </w:p>
              </w:tc>
            </w:tr>
            <w:tr w14:paraId="6E9892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26" w:type="dxa"/>
                  <w:tcBorders>
                    <w:tl2br w:val="nil"/>
                    <w:tr2bl w:val="nil"/>
                  </w:tcBorders>
                  <w:vAlign w:val="center"/>
                </w:tcPr>
                <w:p w14:paraId="3A619615">
                  <w:pPr>
                    <w:pStyle w:val="38"/>
                    <w:bidi w:val="0"/>
                    <w:ind w:left="0" w:leftChars="0" w:right="0" w:rightChars="0" w:firstLine="0" w:firstLineChars="0"/>
                    <w:jc w:val="center"/>
                  </w:pPr>
                  <w:r>
                    <w:rPr>
                      <w:rFonts w:hint="eastAsia"/>
                      <w:lang w:eastAsia="zh-CN"/>
                    </w:rPr>
                    <w:t>生物滤池</w:t>
                  </w:r>
                  <w:r>
                    <w:t>系列</w:t>
                  </w:r>
                </w:p>
              </w:tc>
              <w:tc>
                <w:tcPr>
                  <w:tcW w:w="6796" w:type="dxa"/>
                  <w:tcBorders>
                    <w:tl2br w:val="nil"/>
                    <w:tr2bl w:val="nil"/>
                  </w:tcBorders>
                  <w:vAlign w:val="center"/>
                </w:tcPr>
                <w:p w14:paraId="6B51F6AB">
                  <w:pPr>
                    <w:pStyle w:val="38"/>
                    <w:bidi w:val="0"/>
                    <w:ind w:left="0" w:leftChars="0" w:right="0" w:rightChars="0" w:firstLine="0" w:firstLineChars="0"/>
                    <w:jc w:val="center"/>
                  </w:pPr>
                  <w:r>
                    <w:t>得利满的BOSTYR滤池、威立雅的BIOFOR滤池、美国的STS</w:t>
                  </w:r>
                  <w:r>
                    <w:rPr>
                      <w:rFonts w:hint="eastAsia"/>
                      <w:lang w:eastAsia="zh-CN"/>
                    </w:rPr>
                    <w:t>生物滤池</w:t>
                  </w:r>
                  <w:r>
                    <w:t>和赛来墨滤池、西班牙的UFBAF滤池、华祺的</w:t>
                  </w:r>
                  <w:r>
                    <w:rPr>
                      <w:rFonts w:hint="eastAsia"/>
                      <w:lang w:eastAsia="zh-CN"/>
                    </w:rPr>
                    <w:t>生物滤池</w:t>
                  </w:r>
                  <w:r>
                    <w:t>等</w:t>
                  </w:r>
                </w:p>
              </w:tc>
            </w:tr>
          </w:tbl>
          <w:p w14:paraId="3643FBC2">
            <w:pPr>
              <w:pStyle w:val="36"/>
              <w:ind w:firstLine="480"/>
              <w:rPr>
                <w:rFonts w:hint="default"/>
              </w:rPr>
            </w:pPr>
            <w:r>
              <w:rPr>
                <w:rFonts w:hint="default"/>
              </w:rPr>
              <w:t>①砂滤池系列</w:t>
            </w:r>
          </w:p>
          <w:p w14:paraId="20EA172F">
            <w:pPr>
              <w:pStyle w:val="36"/>
              <w:ind w:firstLine="480"/>
              <w:rPr>
                <w:rFonts w:hint="default"/>
              </w:rPr>
            </w:pPr>
            <w:r>
              <w:rPr>
                <w:rFonts w:hint="default"/>
              </w:rPr>
              <w:t>砂滤池系列主要有普通砂滤池、V砂滤池、活性砂滤池，从工艺的先进性考虑本方案选择V砂滤池作为比选方案。</w:t>
            </w:r>
          </w:p>
          <w:p w14:paraId="3F7B3125">
            <w:pPr>
              <w:pStyle w:val="36"/>
              <w:ind w:firstLine="480"/>
              <w:rPr>
                <w:rFonts w:hint="default"/>
              </w:rPr>
            </w:pPr>
            <w:r>
              <w:rPr>
                <w:rFonts w:hint="default"/>
              </w:rPr>
              <w:t>V形滤池是均粒滤料滤池的一种，该滤池采用石英砂滤料，有效粒径一般为0.95～1.35mm，不均匀系数小于1.6。滤层厚度0.95m～1.5m，具体厚度根据滤料粒径及滤速而定，粗粒径、高滤速时</w:t>
            </w:r>
            <w:r>
              <w:rPr>
                <w:rFonts w:hint="eastAsia"/>
                <w:lang w:eastAsia="zh-CN"/>
              </w:rPr>
              <w:t>需用</w:t>
            </w:r>
            <w:r>
              <w:rPr>
                <w:rFonts w:hint="default"/>
              </w:rPr>
              <w:t>较厚的滤层。</w:t>
            </w:r>
          </w:p>
          <w:p w14:paraId="49326748">
            <w:pPr>
              <w:pStyle w:val="36"/>
              <w:ind w:firstLine="480"/>
              <w:rPr>
                <w:rFonts w:hint="default"/>
              </w:rPr>
            </w:pPr>
            <w:r>
              <w:rPr>
                <w:rFonts w:hint="default"/>
              </w:rPr>
              <w:t>滤料粒径较普通快滤池稍粗，滤速较高。为保证过滤水质，滤层相应加厚，滤池截污量大，过滤周期长。气、水冲洗用水泵和风机，冲洗时滤层微膨胀，同时利用原水进行滤层表面的横向扫洗。在单池面积较大时，可比单独用水冲洗的效果好，属于水位恒定下的等速过滤，易于实现自动过滤和冲洗。</w:t>
            </w:r>
          </w:p>
          <w:p w14:paraId="44E9F726">
            <w:pPr>
              <w:pStyle w:val="36"/>
              <w:ind w:firstLine="480"/>
              <w:rPr>
                <w:rFonts w:hint="default"/>
              </w:rPr>
            </w:pPr>
            <w:r>
              <w:rPr>
                <w:rFonts w:hint="default"/>
              </w:rPr>
              <w:t>②纤维滤池系列</w:t>
            </w:r>
          </w:p>
          <w:p w14:paraId="13814E97">
            <w:pPr>
              <w:pStyle w:val="36"/>
              <w:ind w:firstLine="480"/>
              <w:rPr>
                <w:rFonts w:hint="default"/>
              </w:rPr>
            </w:pPr>
            <w:r>
              <w:rPr>
                <w:rFonts w:hint="default"/>
              </w:rPr>
              <w:t>纤维滤池根据滤料形状分为纤维束滤池和纤维球滤池，工艺原理相同，本方案以纤维束滤池为例进行方案比选。目前市场上的纤维滤池滤料有三类，分别为彗星纤维球、均质纤维球和纤维束，下面以纤维束滤料为例介绍其特点。</w:t>
            </w:r>
          </w:p>
          <w:p w14:paraId="038C4348">
            <w:pPr>
              <w:pStyle w:val="36"/>
              <w:ind w:firstLine="480"/>
              <w:rPr>
                <w:rFonts w:hint="default"/>
              </w:rPr>
            </w:pPr>
            <w:r>
              <w:rPr>
                <w:rFonts w:hint="default"/>
              </w:rPr>
              <w:t>高效纤维滤池采用经特殊处理的纤维束滤料，并且滤料通过纤维密度调节装置来实现过滤时密实，反洗时放松状态。纤维滤池运行时形成滤料孔隙率沿水流方向由大到小的深层过滤效果。所以纤维束滤料截污容量高，深层过滤效果好，它具有以下特点：</w:t>
            </w:r>
          </w:p>
          <w:p w14:paraId="648AC49D">
            <w:pPr>
              <w:pStyle w:val="36"/>
              <w:ind w:firstLine="480"/>
              <w:rPr>
                <w:rFonts w:hint="default"/>
              </w:rPr>
            </w:pPr>
            <w:r>
              <w:rPr>
                <w:rFonts w:hint="default"/>
              </w:rPr>
              <w:t>过滤效率高：进水SS小于30mg/l时，出水SS可小于10mg/l；</w:t>
            </w:r>
          </w:p>
          <w:p w14:paraId="1CE9D146">
            <w:pPr>
              <w:pStyle w:val="36"/>
              <w:ind w:firstLine="480"/>
              <w:rPr>
                <w:rFonts w:hint="default"/>
              </w:rPr>
            </w:pPr>
            <w:r>
              <w:rPr>
                <w:rFonts w:hint="default"/>
              </w:rPr>
              <w:t>过滤速度快：流速可达20m/h以上；截污容量大：10~20kg/</w:t>
            </w:r>
            <w:r>
              <w:t>m</w:t>
            </w:r>
            <w:r>
              <w:rPr>
                <w:vertAlign w:val="superscript"/>
              </w:rPr>
              <w:t>3</w:t>
            </w:r>
            <w:r>
              <w:rPr>
                <w:rFonts w:hint="default"/>
              </w:rPr>
              <w:t>滤料；</w:t>
            </w:r>
          </w:p>
          <w:p w14:paraId="26E7D4F5">
            <w:pPr>
              <w:pStyle w:val="36"/>
              <w:ind w:firstLine="480"/>
              <w:rPr>
                <w:rFonts w:hint="default"/>
              </w:rPr>
            </w:pPr>
            <w:r>
              <w:rPr>
                <w:rFonts w:hint="default"/>
              </w:rPr>
              <w:t>滤料容易清洗：采用水气洗方式，清洗时滤料处于放松状态，清洗彻底；不需要更换滤料：滤料过滤性能不衰减，使用寿命大于10年；</w:t>
            </w:r>
          </w:p>
          <w:p w14:paraId="4F6DE190">
            <w:pPr>
              <w:pStyle w:val="36"/>
              <w:ind w:firstLine="480"/>
              <w:rPr>
                <w:rFonts w:hint="default"/>
              </w:rPr>
            </w:pPr>
            <w:r>
              <w:rPr>
                <w:rFonts w:hint="default"/>
              </w:rPr>
              <w:t>占地面积小：制取相同水量，占地仅为传统砂滤池的1/3~1/2；自耗水量低：仅为周期制水量的1</w:t>
            </w:r>
            <w:r>
              <w:rPr>
                <w:rFonts w:hint="eastAsia"/>
                <w:lang w:eastAsia="zh-CN"/>
              </w:rPr>
              <w:t>%～</w:t>
            </w:r>
            <w:r>
              <w:rPr>
                <w:rFonts w:hint="default"/>
              </w:rPr>
              <w:t>3%；</w:t>
            </w:r>
          </w:p>
          <w:p w14:paraId="04F0A737">
            <w:pPr>
              <w:pStyle w:val="36"/>
              <w:ind w:firstLine="480"/>
              <w:rPr>
                <w:rFonts w:hint="default"/>
              </w:rPr>
            </w:pPr>
            <w:r>
              <w:rPr>
                <w:rFonts w:hint="default"/>
              </w:rPr>
              <w:t>吨水运行费用低：虽增加了反洗风量，但运行周期长，运行费用低于砂滤池。</w:t>
            </w:r>
          </w:p>
          <w:p w14:paraId="3F28CA52">
            <w:pPr>
              <w:pStyle w:val="36"/>
              <w:ind w:firstLine="480"/>
              <w:rPr>
                <w:rFonts w:hint="default"/>
              </w:rPr>
            </w:pPr>
            <w:r>
              <w:rPr>
                <w:rFonts w:hint="default"/>
              </w:rPr>
              <w:t>③滤布滤池系列</w:t>
            </w:r>
          </w:p>
          <w:p w14:paraId="40622131">
            <w:pPr>
              <w:pStyle w:val="36"/>
              <w:ind w:firstLine="480"/>
              <w:rPr>
                <w:rFonts w:hint="default"/>
              </w:rPr>
            </w:pPr>
            <w:r>
              <w:rPr>
                <w:rFonts w:hint="default"/>
              </w:rPr>
              <w:t>滤布滤池用于污水的深度处理，设置于常规活性污泥法、延时曝气活性污泥法、SBR系统、氧化沟系统、滴滤池系统、氧化塘系统之后，可去除总悬浮固体、结合投加药剂可去除P、色度等。</w:t>
            </w:r>
          </w:p>
          <w:p w14:paraId="0FB37CD8">
            <w:pPr>
              <w:pStyle w:val="36"/>
              <w:ind w:firstLine="480"/>
              <w:rPr>
                <w:rFonts w:hint="default"/>
              </w:rPr>
            </w:pPr>
            <w:r>
              <w:rPr>
                <w:rFonts w:hint="default"/>
              </w:rPr>
              <w:t>滤布滤盘的独特设计使滤布滤池具有诸多优点：</w:t>
            </w:r>
          </w:p>
          <w:p w14:paraId="38A18935">
            <w:pPr>
              <w:pStyle w:val="36"/>
              <w:ind w:firstLine="480"/>
              <w:rPr>
                <w:rFonts w:hint="default"/>
              </w:rPr>
            </w:pPr>
            <w:r>
              <w:rPr>
                <w:rFonts w:hint="default"/>
              </w:rPr>
              <w:t>1）设计新颖。</w:t>
            </w:r>
          </w:p>
          <w:p w14:paraId="037E12DF">
            <w:pPr>
              <w:pStyle w:val="36"/>
              <w:ind w:firstLine="480"/>
              <w:rPr>
                <w:rFonts w:hint="default"/>
              </w:rPr>
            </w:pPr>
            <w:r>
              <w:rPr>
                <w:rFonts w:hint="default"/>
              </w:rPr>
              <w:t>重力运行，根据水位差自动反冲洗。反冲洗期间连续过滤，过滤期间滤池维持静态，滤盘仅于清洗时旋转。</w:t>
            </w:r>
          </w:p>
          <w:p w14:paraId="228D6A4E">
            <w:pPr>
              <w:pStyle w:val="36"/>
              <w:ind w:firstLine="480"/>
              <w:rPr>
                <w:rFonts w:hint="default"/>
              </w:rPr>
            </w:pPr>
            <w:r>
              <w:rPr>
                <w:rFonts w:hint="default"/>
              </w:rPr>
              <w:t>2）占地面积小。</w:t>
            </w:r>
          </w:p>
          <w:p w14:paraId="39CB4B59">
            <w:pPr>
              <w:pStyle w:val="36"/>
              <w:ind w:firstLine="480"/>
              <w:rPr>
                <w:rFonts w:hint="default"/>
              </w:rPr>
            </w:pPr>
            <w:r>
              <w:rPr>
                <w:rFonts w:hint="default"/>
              </w:rPr>
              <w:t>滤盘垂直中空管设计，使较小的占地面积即可保证大的过滤面积，从而减小了池容，显著降低了土建费用。</w:t>
            </w:r>
          </w:p>
          <w:p w14:paraId="542EB933">
            <w:pPr>
              <w:pStyle w:val="36"/>
              <w:ind w:firstLine="480"/>
              <w:rPr>
                <w:rFonts w:hint="default"/>
              </w:rPr>
            </w:pPr>
            <w:r>
              <w:rPr>
                <w:rFonts w:hint="default"/>
              </w:rPr>
              <w:t>3）自然沉淀与滤布截留相结合的SS去除设计。</w:t>
            </w:r>
          </w:p>
          <w:p w14:paraId="5FA7F4E3">
            <w:pPr>
              <w:pStyle w:val="36"/>
              <w:ind w:firstLine="480"/>
              <w:rPr>
                <w:rFonts w:hint="default"/>
              </w:rPr>
            </w:pPr>
            <w:r>
              <w:rPr>
                <w:rFonts w:hint="default"/>
              </w:rPr>
              <w:t>滤布滤池中自然沉淀下来的污泥沉积于池底，而非直接吸附于滤料上。池底积泥通过排泥泵周期性排出，减少了滤布积泥量，可延长过滤时间，减少反冲洗水量。</w:t>
            </w:r>
          </w:p>
          <w:p w14:paraId="705373E6">
            <w:pPr>
              <w:pStyle w:val="36"/>
              <w:ind w:firstLine="480"/>
              <w:rPr>
                <w:rFonts w:hint="default"/>
              </w:rPr>
            </w:pPr>
            <w:r>
              <w:rPr>
                <w:rFonts w:hint="default"/>
              </w:rPr>
              <w:t>4）反冲洗高效。</w:t>
            </w:r>
          </w:p>
          <w:p w14:paraId="479CDC76">
            <w:pPr>
              <w:pStyle w:val="36"/>
              <w:ind w:firstLine="480"/>
              <w:rPr>
                <w:rFonts w:hint="default"/>
              </w:rPr>
            </w:pPr>
            <w:r>
              <w:rPr>
                <w:rFonts w:hint="default"/>
              </w:rPr>
              <w:t>滤布仅2~3mm厚，易清洗干净，因而反冲洗十分有效。</w:t>
            </w:r>
          </w:p>
          <w:p w14:paraId="20CB3BFF">
            <w:pPr>
              <w:pStyle w:val="36"/>
              <w:ind w:firstLine="480"/>
              <w:rPr>
                <w:rFonts w:hint="default"/>
              </w:rPr>
            </w:pPr>
            <w:r>
              <w:rPr>
                <w:rFonts w:hint="default"/>
              </w:rPr>
              <w:t>5）冲洗历时短。</w:t>
            </w:r>
          </w:p>
          <w:p w14:paraId="2DAE2F30">
            <w:pPr>
              <w:pStyle w:val="36"/>
              <w:ind w:firstLine="480"/>
              <w:rPr>
                <w:rFonts w:hint="default"/>
              </w:rPr>
            </w:pPr>
            <w:r>
              <w:rPr>
                <w:rFonts w:hint="default"/>
              </w:rPr>
              <w:t>采用过滤水进行反冲洗，反冲洗速率为7.7L/s，历时1min。再生水处理站一般不需设调节池来贮存、调节反冲洗废水的排放。</w:t>
            </w:r>
          </w:p>
          <w:p w14:paraId="4C29C9DB">
            <w:pPr>
              <w:pStyle w:val="36"/>
              <w:ind w:firstLine="480"/>
              <w:rPr>
                <w:rFonts w:hint="default"/>
              </w:rPr>
            </w:pPr>
            <w:r>
              <w:rPr>
                <w:rFonts w:hint="default"/>
              </w:rPr>
              <w:t>6）运行自动化。</w:t>
            </w:r>
          </w:p>
          <w:p w14:paraId="1768C895">
            <w:pPr>
              <w:pStyle w:val="36"/>
              <w:ind w:firstLine="480"/>
              <w:rPr>
                <w:rFonts w:hint="default"/>
              </w:rPr>
            </w:pPr>
            <w:r>
              <w:rPr>
                <w:rFonts w:hint="default"/>
              </w:rPr>
              <w:t>过滤过程由计算机控制，可通过人机界面调整反冲洗过程、高压喷洗过程及排泥过程的间隔时间及过程历时。</w:t>
            </w:r>
          </w:p>
          <w:p w14:paraId="65000001">
            <w:pPr>
              <w:pStyle w:val="36"/>
              <w:ind w:firstLine="480"/>
              <w:rPr>
                <w:rFonts w:hint="default"/>
              </w:rPr>
            </w:pPr>
            <w:r>
              <w:rPr>
                <w:rFonts w:hint="default"/>
              </w:rPr>
              <w:t>7）出水水质好。</w:t>
            </w:r>
          </w:p>
          <w:p w14:paraId="241DA90C">
            <w:pPr>
              <w:pStyle w:val="36"/>
              <w:ind w:firstLine="480"/>
              <w:rPr>
                <w:rFonts w:hint="default"/>
              </w:rPr>
            </w:pPr>
            <w:r>
              <w:rPr>
                <w:rFonts w:hint="default"/>
              </w:rPr>
              <w:t>滤布滤池出水水质优于颗粒滤料滤池。当水力负荷及污泥负荷远大于常规砂滤负荷时，滤布滤池仍能保持较高的去除效率，保证较好的出水水质。</w:t>
            </w:r>
          </w:p>
          <w:p w14:paraId="1DC67F70">
            <w:pPr>
              <w:pStyle w:val="36"/>
              <w:ind w:firstLine="480"/>
              <w:rPr>
                <w:rFonts w:hint="default"/>
              </w:rPr>
            </w:pPr>
            <w:r>
              <w:rPr>
                <w:rFonts w:hint="default"/>
              </w:rPr>
              <w:t>8）检修量小。</w:t>
            </w:r>
          </w:p>
          <w:p w14:paraId="0A7DA9FB">
            <w:pPr>
              <w:pStyle w:val="36"/>
              <w:ind w:firstLine="480"/>
              <w:rPr>
                <w:rFonts w:hint="default"/>
              </w:rPr>
            </w:pPr>
            <w:r>
              <w:rPr>
                <w:rFonts w:hint="default"/>
              </w:rPr>
              <w:t>滤布滤池机械设备较少，排泥泵及电机均间隙运行。滤布磨损较小，滤盘易于更换。假若由于某些原因造成滤布堵塞，可轻易更换滤布。相对其它过滤设备而言，若滤料堵塞，则需要很大的清洗工作量。</w:t>
            </w:r>
          </w:p>
          <w:p w14:paraId="19E5365D">
            <w:pPr>
              <w:pStyle w:val="36"/>
              <w:ind w:firstLine="480"/>
              <w:rPr>
                <w:rFonts w:hint="default"/>
              </w:rPr>
            </w:pPr>
            <w:r>
              <w:rPr>
                <w:rFonts w:hint="default"/>
              </w:rPr>
              <w:t>9）水头损失小。</w:t>
            </w:r>
          </w:p>
          <w:p w14:paraId="5290A169">
            <w:pPr>
              <w:pStyle w:val="36"/>
              <w:ind w:firstLine="480"/>
              <w:rPr>
                <w:rFonts w:hint="default"/>
              </w:rPr>
            </w:pPr>
            <w:r>
              <w:rPr>
                <w:rFonts w:hint="default"/>
              </w:rPr>
              <w:t>滤布滤池进出水水头损失最小时仅0.31m。</w:t>
            </w:r>
          </w:p>
          <w:p w14:paraId="028508DE">
            <w:pPr>
              <w:pStyle w:val="36"/>
              <w:ind w:firstLine="480"/>
              <w:rPr>
                <w:rFonts w:hint="default"/>
              </w:rPr>
            </w:pPr>
            <w:r>
              <w:rPr>
                <w:rFonts w:hint="default"/>
              </w:rPr>
              <w:t>10）易于安装。</w:t>
            </w:r>
          </w:p>
          <w:p w14:paraId="44BAFB9A">
            <w:pPr>
              <w:pStyle w:val="36"/>
              <w:ind w:firstLine="480"/>
              <w:rPr>
                <w:rFonts w:hint="default"/>
              </w:rPr>
            </w:pPr>
            <w:r>
              <w:rPr>
                <w:rFonts w:hint="default"/>
              </w:rPr>
              <w:t>滤布滤池可整体装运。现场连接管配件及电气设备之后，即可投入使用。而其它过滤设备则往往需要进行滤料安装。</w:t>
            </w:r>
          </w:p>
          <w:p w14:paraId="3D9374F3">
            <w:pPr>
              <w:pStyle w:val="36"/>
              <w:ind w:firstLine="480"/>
              <w:rPr>
                <w:rFonts w:hint="default"/>
              </w:rPr>
            </w:pPr>
            <w:r>
              <w:rPr>
                <w:rFonts w:hint="eastAsia"/>
                <w:lang w:eastAsia="zh-CN"/>
              </w:rPr>
              <w:t>（</w:t>
            </w:r>
            <w:r>
              <w:rPr>
                <w:rFonts w:hint="eastAsia"/>
                <w:lang w:val="en-US" w:eastAsia="zh-CN"/>
              </w:rPr>
              <w:t>3</w:t>
            </w:r>
            <w:r>
              <w:rPr>
                <w:rFonts w:hint="eastAsia"/>
                <w:lang w:eastAsia="zh-CN"/>
              </w:rPr>
              <w:t>）MBR工艺</w:t>
            </w:r>
          </w:p>
          <w:p w14:paraId="5A3A8513">
            <w:pPr>
              <w:pStyle w:val="36"/>
              <w:ind w:firstLine="480"/>
              <w:rPr>
                <w:rFonts w:hint="default"/>
              </w:rPr>
            </w:pPr>
            <w:r>
              <w:rPr>
                <w:rFonts w:hint="default"/>
              </w:rPr>
              <w:t>MBR工艺是生化技术与膜技术结合的工艺，以膜分离替代传统的二沉池进行泥水分离。</w:t>
            </w:r>
          </w:p>
          <w:p w14:paraId="505069A2">
            <w:pPr>
              <w:pStyle w:val="36"/>
              <w:ind w:firstLine="480"/>
              <w:rPr>
                <w:rFonts w:hint="default"/>
              </w:rPr>
            </w:pPr>
            <w:r>
              <w:rPr>
                <w:rFonts w:hint="default"/>
              </w:rPr>
              <w:t>膜生物反应器技术（MBR）是膜分离技术和污水生物处理技术有机结合的产物，被普遍认为是性能稳定，效果良好，极具发展潜力的污水处理技术。该技术的特点是以超、微滤膜分离过程取代传统活性污泥处理过程中的泥水重力沉降分离过程，由于采用膜分离，因此可以保持很高的生物相浓度和非常优异的出水效果。可有效去除水中的有机物与氨氮等污染物质。MBR工艺在国内外已经成功地应用于城市污水与工业污水的处理，具有以下优点和特点：</w:t>
            </w:r>
          </w:p>
          <w:p w14:paraId="2AFCD89F">
            <w:pPr>
              <w:pStyle w:val="36"/>
              <w:ind w:firstLine="480"/>
              <w:rPr>
                <w:rFonts w:hint="default"/>
              </w:rPr>
            </w:pPr>
            <w:r>
              <w:rPr>
                <w:rFonts w:hint="default"/>
              </w:rPr>
              <w:t>1）出水水质良好：能够高效地进行固液分离，出水水质良好、稳定，悬浮物和浊度接近于零，可直接回用。同时，与传统生物处理工艺相比，其生物池的活性污泥浓度提高了2倍以上，因此生化效率得到大大提高，出水水质好。</w:t>
            </w:r>
          </w:p>
          <w:p w14:paraId="03F290CE">
            <w:pPr>
              <w:pStyle w:val="36"/>
              <w:ind w:firstLine="480"/>
              <w:rPr>
                <w:rFonts w:hint="default"/>
              </w:rPr>
            </w:pPr>
            <w:r>
              <w:rPr>
                <w:rFonts w:hint="default"/>
              </w:rPr>
              <w:t>2）占地面积小：反应器内的微生物浓度高，大大提高容积负荷（可达2~5kgCOD/</w:t>
            </w:r>
            <w:r>
              <w:t>m</w:t>
            </w:r>
            <w:r>
              <w:rPr>
                <w:vertAlign w:val="superscript"/>
              </w:rPr>
              <w:t>3</w:t>
            </w:r>
            <w:r>
              <w:rPr>
                <w:rFonts w:hint="default"/>
              </w:rPr>
              <w:t>d），减小了生化池容。采用膜生物反应器一个处理构筑物，替代了传统污水处理工艺的曝气、二沉、混凝、过滤等多个处理构筑物，大大减少了对土地的占用；</w:t>
            </w:r>
          </w:p>
          <w:p w14:paraId="63A3BDF3">
            <w:pPr>
              <w:pStyle w:val="36"/>
              <w:ind w:firstLine="480"/>
              <w:rPr>
                <w:rFonts w:hint="default"/>
              </w:rPr>
            </w:pPr>
            <w:r>
              <w:rPr>
                <w:rFonts w:hint="default"/>
              </w:rPr>
              <w:t>3）剩余污泥排放少：有机负荷低、泥龄长，污泥产率低。</w:t>
            </w:r>
          </w:p>
          <w:p w14:paraId="7BF32CE6">
            <w:pPr>
              <w:pStyle w:val="36"/>
              <w:ind w:firstLine="480"/>
              <w:rPr>
                <w:rFonts w:hint="default"/>
              </w:rPr>
            </w:pPr>
            <w:r>
              <w:rPr>
                <w:rFonts w:hint="default"/>
              </w:rPr>
              <w:t>4）不受污泥膨胀的影响：取消了传统二沉池而以膜过滤实现固液分离，完全避免了传统工艺污泥膨胀对出水水质的影响。</w:t>
            </w:r>
          </w:p>
          <w:p w14:paraId="030517C3">
            <w:pPr>
              <w:pStyle w:val="36"/>
              <w:ind w:firstLine="480"/>
              <w:rPr>
                <w:rFonts w:hint="default"/>
              </w:rPr>
            </w:pPr>
            <w:r>
              <w:rPr>
                <w:rFonts w:hint="default"/>
              </w:rPr>
              <w:t>5）氨氮去除率高：有利于增殖缓慢的硝化菌的截留、生长和繁殖，氨氮去除效果好。</w:t>
            </w:r>
          </w:p>
          <w:p w14:paraId="1BF9676B">
            <w:pPr>
              <w:pStyle w:val="36"/>
              <w:ind w:firstLine="480"/>
              <w:rPr>
                <w:rFonts w:hint="default"/>
              </w:rPr>
            </w:pPr>
            <w:r>
              <w:rPr>
                <w:rFonts w:hint="default"/>
              </w:rPr>
              <w:t>6）除磷效果好：污泥浓度高，可以直接进行脱水，避免传统工艺沉淀池和污泥浓缩池缺氧状况下磷的释放。以生化除磷为主，辅助化学除磷确保达标。可以直接将铝盐和铁盐投入生化池中，形成的磷酸盐沉淀几乎被膜全部截留，随剩余污泥排放，而传统的混凝过滤难以避免部分磷酸盐沉淀随SS随水带出。</w:t>
            </w:r>
          </w:p>
          <w:p w14:paraId="52914F29">
            <w:pPr>
              <w:pStyle w:val="36"/>
              <w:ind w:firstLine="480"/>
              <w:rPr>
                <w:rFonts w:hint="default"/>
              </w:rPr>
            </w:pPr>
            <w:r>
              <w:rPr>
                <w:rFonts w:hint="default"/>
              </w:rPr>
              <w:t>7）抗水质冲击负荷能力强：由于具有很高的生物相浓度，因此抗冲击负荷的能力很强，这对于保证水质变化较大的合流制城市污水处理设施的稳定运行，尤显重要。</w:t>
            </w:r>
          </w:p>
          <w:p w14:paraId="0AC5E048">
            <w:pPr>
              <w:pStyle w:val="36"/>
              <w:ind w:firstLine="480"/>
              <w:rPr>
                <w:rFonts w:hint="default"/>
              </w:rPr>
            </w:pPr>
            <w:r>
              <w:rPr>
                <w:rFonts w:hint="default"/>
              </w:rPr>
              <w:t>8）生物相丰富：膜的高效截留作用，使微生物完全截留在反应器内，可以使得世代周期较长的微生物以及不易形成菌胶团的微生物得以富集和繁殖，可以在整个生物相内形成生物富集和共代谢作用，形成较为完整的微生物链，大大提高处理效率和系统的稳定性，而这在传统生化工艺中较为少见。</w:t>
            </w:r>
          </w:p>
          <w:p w14:paraId="5D2715EA">
            <w:pPr>
              <w:pStyle w:val="36"/>
              <w:ind w:firstLine="480"/>
              <w:rPr>
                <w:rFonts w:hint="default"/>
              </w:rPr>
            </w:pPr>
            <w:r>
              <w:rPr>
                <w:rFonts w:hint="default"/>
              </w:rPr>
              <w:t>9）自动化程度高：运行管理简便。</w:t>
            </w:r>
          </w:p>
          <w:p w14:paraId="4B472F34">
            <w:pPr>
              <w:pStyle w:val="36"/>
              <w:ind w:firstLine="480"/>
              <w:rPr>
                <w:rFonts w:hint="default"/>
              </w:rPr>
            </w:pPr>
            <w:r>
              <w:rPr>
                <w:rFonts w:hint="default"/>
              </w:rPr>
              <w:t>10）模块化设计：由于膜生物反应器技术的模块化特征，生化池污泥浓度有很宽的可控范围，因此它可以通过增加必要的膜组建模块，来应对处理水量的增长。</w:t>
            </w:r>
          </w:p>
          <w:p w14:paraId="117F5860">
            <w:pPr>
              <w:pStyle w:val="36"/>
              <w:ind w:firstLine="480"/>
              <w:rPr>
                <w:rFonts w:hint="default"/>
              </w:rPr>
            </w:pPr>
            <w:r>
              <w:rPr>
                <w:rFonts w:hint="default"/>
              </w:rPr>
              <w:t>由于采用微滤滤膜分离技术进行固液分离，不仅保障出水SS低，而且大大提高了生物反应器中的生物浓度和种群数量，特别是像硝化菌这类不易形成菌胶团的细菌被截留，使得生物降解效率得到提高。因此膜生物反应器不单纯是生物处理与膜分离技术的简单叠加，而是具有1+1大于2的效应。</w:t>
            </w:r>
          </w:p>
          <w:p w14:paraId="0EBBA00F">
            <w:pPr>
              <w:pStyle w:val="36"/>
              <w:ind w:firstLine="480"/>
              <w:rPr>
                <w:rFonts w:hint="default"/>
              </w:rPr>
            </w:pPr>
            <w:r>
              <w:rPr>
                <w:rFonts w:hint="eastAsia"/>
                <w:lang w:eastAsia="zh-CN"/>
              </w:rPr>
              <w:t>（</w:t>
            </w:r>
            <w:r>
              <w:rPr>
                <w:rFonts w:hint="eastAsia"/>
                <w:lang w:val="en-US" w:eastAsia="zh-CN"/>
              </w:rPr>
              <w:t>5</w:t>
            </w:r>
            <w:r>
              <w:rPr>
                <w:rFonts w:hint="eastAsia"/>
                <w:lang w:eastAsia="zh-CN"/>
              </w:rPr>
              <w:t>）</w:t>
            </w:r>
            <w:r>
              <w:rPr>
                <w:rFonts w:hint="default"/>
              </w:rPr>
              <w:t>深度处理工艺的确定</w:t>
            </w:r>
          </w:p>
          <w:p w14:paraId="16780150">
            <w:pPr>
              <w:pStyle w:val="36"/>
              <w:ind w:firstLine="480"/>
              <w:rPr>
                <w:rFonts w:hint="default"/>
              </w:rPr>
            </w:pPr>
            <w:r>
              <w:rPr>
                <w:rFonts w:hint="default"/>
              </w:rPr>
              <w:t>综上所述，根据污水处理厂的选址、建设型式及出水水质要求等特点，对于占地面积小、出水水质要求高的可选择MBR工艺，相对于占地大、出水水质要求较低的可选择沉淀+过滤的方式即可。</w:t>
            </w:r>
          </w:p>
          <w:p w14:paraId="4342DD1E">
            <w:pPr>
              <w:pStyle w:val="36"/>
              <w:ind w:firstLine="480"/>
              <w:rPr>
                <w:rFonts w:hint="default"/>
                <w:b/>
                <w:bCs/>
              </w:rPr>
            </w:pPr>
            <w:r>
              <w:rPr>
                <w:rFonts w:hint="eastAsia"/>
                <w:b/>
                <w:bCs/>
                <w:lang w:val="en-US" w:eastAsia="zh-CN"/>
              </w:rPr>
              <w:t>5</w:t>
            </w:r>
            <w:r>
              <w:rPr>
                <w:rFonts w:hint="default"/>
                <w:b/>
                <w:bCs/>
              </w:rPr>
              <w:t>、工艺方案比选</w:t>
            </w:r>
          </w:p>
          <w:p w14:paraId="25235778">
            <w:pPr>
              <w:pStyle w:val="36"/>
              <w:ind w:firstLine="480"/>
              <w:rPr>
                <w:rFonts w:hint="default"/>
              </w:rPr>
            </w:pPr>
            <w:r>
              <w:rPr>
                <w:rFonts w:hint="default"/>
              </w:rPr>
              <w:t>根据本项目对污水处理程度要求，以及综合考虑各种处理工艺的特点，污水脱氮除磷有多种工艺，不同工艺各有其优缺点，结合本工程实际状况，从上述各种工艺中筛选出“A2/O+二沉池+反硝化</w:t>
            </w:r>
            <w:r>
              <w:rPr>
                <w:rFonts w:hint="eastAsia"/>
                <w:lang w:eastAsia="zh-CN"/>
              </w:rPr>
              <w:t>生物滤池</w:t>
            </w:r>
            <w:r>
              <w:rPr>
                <w:rFonts w:hint="default"/>
              </w:rPr>
              <w:t>”“A2/O+二沉池+磁混凝+滤布滤池”和“A2/O+MBR”三个工艺组合作为主体工艺进行比较：</w:t>
            </w:r>
          </w:p>
          <w:p w14:paraId="7D4C477A">
            <w:pPr>
              <w:pStyle w:val="36"/>
              <w:ind w:firstLine="480"/>
              <w:rPr>
                <w:rFonts w:hint="eastAsia" w:eastAsia="宋体"/>
                <w:lang w:eastAsia="zh-CN"/>
              </w:rPr>
            </w:pPr>
            <w:r>
              <w:rPr>
                <w:rFonts w:hint="eastAsia"/>
                <w:lang w:eastAsia="zh-CN"/>
              </w:rPr>
              <w:t>（</w:t>
            </w:r>
            <w:r>
              <w:rPr>
                <w:rFonts w:hint="eastAsia"/>
                <w:lang w:val="en-US" w:eastAsia="zh-CN"/>
              </w:rPr>
              <w:t>1</w:t>
            </w:r>
            <w:r>
              <w:rPr>
                <w:rFonts w:hint="eastAsia"/>
                <w:lang w:eastAsia="zh-CN"/>
              </w:rPr>
              <w:t>）</w:t>
            </w:r>
            <w:r>
              <w:rPr>
                <w:rFonts w:hint="default"/>
              </w:rPr>
              <w:t>方案一：A2/O+混凝过滤+反硝化</w:t>
            </w:r>
            <w:r>
              <w:rPr>
                <w:rFonts w:hint="eastAsia"/>
                <w:lang w:eastAsia="zh-CN"/>
              </w:rPr>
              <w:t>生物滤池</w:t>
            </w:r>
          </w:p>
          <w:p w14:paraId="48A6AD15">
            <w:pPr>
              <w:pStyle w:val="36"/>
              <w:ind w:firstLine="480"/>
              <w:rPr>
                <w:rFonts w:hint="default"/>
              </w:rPr>
            </w:pPr>
            <w:r>
              <w:rPr>
                <w:rFonts w:hint="default"/>
              </w:rPr>
              <w:t>1）工艺流程</w:t>
            </w:r>
          </w:p>
          <w:p w14:paraId="56B51F83">
            <w:pPr>
              <w:pStyle w:val="38"/>
              <w:bidi w:val="0"/>
              <w:rPr>
                <w:rFonts w:hint="default"/>
              </w:rPr>
            </w:pPr>
            <w:r>
              <w:drawing>
                <wp:inline distT="0" distB="0" distL="0" distR="0">
                  <wp:extent cx="3820160" cy="1171575"/>
                  <wp:effectExtent l="9525" t="9525" r="18415" b="1905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3"/>
                          <a:stretch>
                            <a:fillRect/>
                          </a:stretch>
                        </pic:blipFill>
                        <pic:spPr>
                          <a:xfrm>
                            <a:off x="0" y="0"/>
                            <a:ext cx="3820160" cy="1171575"/>
                          </a:xfrm>
                          <a:prstGeom prst="rect">
                            <a:avLst/>
                          </a:prstGeom>
                          <a:ln>
                            <a:solidFill>
                              <a:schemeClr val="tx1"/>
                            </a:solidFill>
                          </a:ln>
                        </pic:spPr>
                      </pic:pic>
                    </a:graphicData>
                  </a:graphic>
                </wp:inline>
              </w:drawing>
            </w:r>
          </w:p>
          <w:p w14:paraId="18E10169">
            <w:pPr>
              <w:pStyle w:val="53"/>
              <w:bidi w:val="0"/>
              <w:rPr>
                <w:rFonts w:hint="default"/>
              </w:rPr>
            </w:pPr>
            <w:r>
              <w:rPr>
                <w:rFonts w:hint="default"/>
              </w:rPr>
              <w:t>A2/O+二沉池+反硝化</w:t>
            </w:r>
            <w:r>
              <w:rPr>
                <w:rFonts w:hint="eastAsia"/>
                <w:lang w:eastAsia="zh-CN"/>
              </w:rPr>
              <w:t>生物滤池</w:t>
            </w:r>
            <w:r>
              <w:rPr>
                <w:rFonts w:hint="default"/>
              </w:rPr>
              <w:t>工艺流程框图</w:t>
            </w:r>
          </w:p>
          <w:p w14:paraId="3FD01AE6">
            <w:pPr>
              <w:pStyle w:val="36"/>
              <w:ind w:firstLine="480"/>
              <w:rPr>
                <w:rFonts w:hint="default"/>
              </w:rPr>
            </w:pPr>
            <w:r>
              <w:rPr>
                <w:rFonts w:hint="default"/>
              </w:rPr>
              <w:t>2）工艺说明</w:t>
            </w:r>
          </w:p>
          <w:p w14:paraId="7F919771">
            <w:pPr>
              <w:pStyle w:val="36"/>
              <w:ind w:firstLine="480"/>
              <w:rPr>
                <w:rFonts w:hint="default"/>
              </w:rPr>
            </w:pPr>
            <w:r>
              <w:rPr>
                <w:rFonts w:hint="default"/>
              </w:rPr>
              <w:t>A2/O+二沉池+反硝化</w:t>
            </w:r>
            <w:r>
              <w:rPr>
                <w:rFonts w:hint="eastAsia"/>
                <w:lang w:eastAsia="zh-CN"/>
              </w:rPr>
              <w:t>生物滤池</w:t>
            </w:r>
            <w:r>
              <w:rPr>
                <w:rFonts w:hint="default"/>
              </w:rPr>
              <w:t>，是一种比较传统的污水及再生水处理工艺。</w:t>
            </w:r>
          </w:p>
          <w:p w14:paraId="5879D486">
            <w:pPr>
              <w:pStyle w:val="36"/>
              <w:ind w:firstLine="480"/>
              <w:rPr>
                <w:rFonts w:hint="default"/>
              </w:rPr>
            </w:pPr>
            <w:r>
              <w:rPr>
                <w:rFonts w:hint="default"/>
              </w:rPr>
              <w:t>二沉池+反硝化</w:t>
            </w:r>
            <w:r>
              <w:rPr>
                <w:rFonts w:hint="eastAsia"/>
                <w:lang w:eastAsia="zh-CN"/>
              </w:rPr>
              <w:t>生物滤池</w:t>
            </w:r>
            <w:r>
              <w:rPr>
                <w:rFonts w:hint="default"/>
              </w:rPr>
              <w:t>工艺作为污水深度处理的传统工艺，主要由混凝反应池、二沉池、反硝化</w:t>
            </w:r>
            <w:r>
              <w:rPr>
                <w:rFonts w:hint="eastAsia"/>
                <w:lang w:eastAsia="zh-CN"/>
              </w:rPr>
              <w:t>生物滤池</w:t>
            </w:r>
            <w:r>
              <w:rPr>
                <w:rFonts w:hint="default"/>
              </w:rPr>
              <w:t>组成，用于去除二级生化出水中的总磷、胶体物质和少量的固体悬浮物。</w:t>
            </w:r>
          </w:p>
          <w:p w14:paraId="1F67E38A">
            <w:pPr>
              <w:pStyle w:val="36"/>
              <w:ind w:firstLine="480"/>
              <w:rPr>
                <w:rFonts w:hint="default"/>
              </w:rPr>
            </w:pPr>
            <w:r>
              <w:rPr>
                <w:rFonts w:hint="eastAsia"/>
                <w:lang w:eastAsia="zh-CN"/>
              </w:rPr>
              <w:t>（</w:t>
            </w:r>
            <w:r>
              <w:rPr>
                <w:rFonts w:hint="eastAsia"/>
                <w:lang w:val="en-US" w:eastAsia="zh-CN"/>
              </w:rPr>
              <w:t>2</w:t>
            </w:r>
            <w:r>
              <w:rPr>
                <w:rFonts w:hint="eastAsia"/>
                <w:lang w:eastAsia="zh-CN"/>
              </w:rPr>
              <w:t>）</w:t>
            </w:r>
            <w:r>
              <w:rPr>
                <w:rFonts w:hint="default"/>
              </w:rPr>
              <w:t>方案二：A2/O+二沉池+磁混凝+滤布滤池</w:t>
            </w:r>
          </w:p>
          <w:p w14:paraId="6EFA3B8B">
            <w:pPr>
              <w:pStyle w:val="36"/>
              <w:ind w:firstLine="480"/>
              <w:rPr>
                <w:rFonts w:hint="default"/>
              </w:rPr>
            </w:pPr>
            <w:r>
              <w:rPr>
                <w:rFonts w:hint="default"/>
              </w:rPr>
              <w:t>1）工艺流程</w:t>
            </w:r>
          </w:p>
          <w:p w14:paraId="67902FDA">
            <w:pPr>
              <w:pStyle w:val="38"/>
              <w:bidi w:val="0"/>
              <w:rPr>
                <w:rFonts w:hint="default"/>
              </w:rPr>
            </w:pPr>
            <w:r>
              <w:drawing>
                <wp:inline distT="0" distB="0" distL="0" distR="0">
                  <wp:extent cx="4486910" cy="1302385"/>
                  <wp:effectExtent l="9525" t="9525" r="18415" b="2159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4"/>
                          <a:stretch>
                            <a:fillRect/>
                          </a:stretch>
                        </pic:blipFill>
                        <pic:spPr>
                          <a:xfrm>
                            <a:off x="0" y="0"/>
                            <a:ext cx="4486910" cy="1302385"/>
                          </a:xfrm>
                          <a:prstGeom prst="rect">
                            <a:avLst/>
                          </a:prstGeom>
                          <a:ln>
                            <a:solidFill>
                              <a:schemeClr val="tx1"/>
                            </a:solidFill>
                          </a:ln>
                        </pic:spPr>
                      </pic:pic>
                    </a:graphicData>
                  </a:graphic>
                </wp:inline>
              </w:drawing>
            </w:r>
          </w:p>
          <w:p w14:paraId="5F65DF1E">
            <w:pPr>
              <w:pStyle w:val="53"/>
              <w:bidi w:val="0"/>
              <w:rPr>
                <w:rFonts w:hint="default"/>
              </w:rPr>
            </w:pPr>
            <w:r>
              <w:rPr>
                <w:rFonts w:hint="default"/>
              </w:rPr>
              <w:t>A2/O+二沉池+磁混凝+滤布滤池工艺流程框图</w:t>
            </w:r>
          </w:p>
          <w:p w14:paraId="2EDA6FD3">
            <w:pPr>
              <w:pStyle w:val="36"/>
              <w:ind w:firstLine="480"/>
              <w:rPr>
                <w:rFonts w:hint="default"/>
              </w:rPr>
            </w:pPr>
            <w:r>
              <w:rPr>
                <w:rFonts w:hint="default"/>
              </w:rPr>
              <w:t>2）工艺说明</w:t>
            </w:r>
          </w:p>
          <w:p w14:paraId="2870CDC2">
            <w:pPr>
              <w:pStyle w:val="36"/>
              <w:ind w:firstLine="480"/>
              <w:rPr>
                <w:rFonts w:hint="default"/>
              </w:rPr>
            </w:pPr>
            <w:r>
              <w:rPr>
                <w:rFonts w:hint="default"/>
              </w:rPr>
              <w:t>A2/O工艺是处理厂生化处理部分的主体工艺，具有较高的生化脱氮和除磷效果，设置鼓风曝气系统提供生化反应过程中所需的氧，并通过二次沉淀池进行泥水分离。</w:t>
            </w:r>
          </w:p>
          <w:p w14:paraId="40D25BA8">
            <w:pPr>
              <w:pStyle w:val="36"/>
              <w:ind w:firstLine="480"/>
              <w:rPr>
                <w:rFonts w:hint="default"/>
              </w:rPr>
            </w:pPr>
            <w:r>
              <w:rPr>
                <w:rFonts w:hint="default"/>
              </w:rPr>
              <w:t>磁混凝+滤布滤池是一种新的混凝沉淀过滤技术，较传统过滤工艺比具有滤布孔径小、过滤精度高、出水水质较稳定、运行费用低等优点。</w:t>
            </w:r>
          </w:p>
          <w:p w14:paraId="02C4CB86">
            <w:pPr>
              <w:pStyle w:val="36"/>
              <w:ind w:firstLine="480"/>
              <w:rPr>
                <w:rFonts w:hint="default"/>
              </w:rPr>
            </w:pPr>
            <w:r>
              <w:rPr>
                <w:rFonts w:hint="eastAsia"/>
                <w:lang w:eastAsia="zh-CN"/>
              </w:rPr>
              <w:t>（</w:t>
            </w:r>
            <w:r>
              <w:rPr>
                <w:rFonts w:hint="eastAsia"/>
                <w:lang w:val="en-US" w:eastAsia="zh-CN"/>
              </w:rPr>
              <w:t>3</w:t>
            </w:r>
            <w:r>
              <w:rPr>
                <w:rFonts w:hint="eastAsia"/>
                <w:lang w:eastAsia="zh-CN"/>
              </w:rPr>
              <w:t>）</w:t>
            </w:r>
            <w:r>
              <w:rPr>
                <w:rFonts w:hint="default"/>
              </w:rPr>
              <w:t>方案三：A2/O+MBR</w:t>
            </w:r>
          </w:p>
          <w:p w14:paraId="33F97E30">
            <w:pPr>
              <w:pStyle w:val="36"/>
              <w:ind w:firstLine="480"/>
              <w:rPr>
                <w:rFonts w:hint="default"/>
              </w:rPr>
            </w:pPr>
            <w:r>
              <w:rPr>
                <w:rFonts w:hint="default"/>
              </w:rPr>
              <w:t>1）工艺流程</w:t>
            </w:r>
          </w:p>
          <w:p w14:paraId="585914B5">
            <w:pPr>
              <w:pStyle w:val="38"/>
              <w:bidi w:val="0"/>
              <w:rPr>
                <w:rFonts w:hint="default"/>
              </w:rPr>
            </w:pPr>
            <w:r>
              <w:drawing>
                <wp:inline distT="0" distB="0" distL="0" distR="0">
                  <wp:extent cx="4923790" cy="417195"/>
                  <wp:effectExtent l="9525" t="9525" r="19685" b="1143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5"/>
                          <a:stretch>
                            <a:fillRect/>
                          </a:stretch>
                        </pic:blipFill>
                        <pic:spPr>
                          <a:xfrm>
                            <a:off x="0" y="0"/>
                            <a:ext cx="4924124" cy="417287"/>
                          </a:xfrm>
                          <a:prstGeom prst="rect">
                            <a:avLst/>
                          </a:prstGeom>
                          <a:ln>
                            <a:solidFill>
                              <a:schemeClr val="tx1"/>
                            </a:solidFill>
                          </a:ln>
                        </pic:spPr>
                      </pic:pic>
                    </a:graphicData>
                  </a:graphic>
                </wp:inline>
              </w:drawing>
            </w:r>
          </w:p>
          <w:p w14:paraId="0F638504">
            <w:pPr>
              <w:pStyle w:val="53"/>
              <w:bidi w:val="0"/>
              <w:rPr>
                <w:rFonts w:hint="default"/>
              </w:rPr>
            </w:pPr>
            <w:r>
              <w:rPr>
                <w:rFonts w:hint="default"/>
              </w:rPr>
              <w:t>A2/O+MBR工艺流程框图</w:t>
            </w:r>
          </w:p>
          <w:p w14:paraId="0CCC05D5">
            <w:pPr>
              <w:pStyle w:val="36"/>
              <w:ind w:firstLine="480"/>
              <w:rPr>
                <w:rFonts w:hint="default"/>
              </w:rPr>
            </w:pPr>
            <w:r>
              <w:rPr>
                <w:rFonts w:hint="default"/>
              </w:rPr>
              <w:t>2）工艺说明</w:t>
            </w:r>
          </w:p>
          <w:p w14:paraId="03C06FAF">
            <w:pPr>
              <w:pStyle w:val="36"/>
              <w:ind w:firstLine="480"/>
              <w:rPr>
                <w:rFonts w:hint="default"/>
              </w:rPr>
            </w:pPr>
            <w:r>
              <w:rPr>
                <w:rFonts w:hint="default"/>
              </w:rPr>
              <w:t>MBR工艺是处理厂生化处理部分的主体工艺，本工艺的生化处理部分结合“厌氧+缺氧+好氧”，提高了生化处理系统的处理效率，可以实现脱氮除磷的目的；另一方面工艺采用膜进行固液分离，污泥不会流失，泥龄长，许多在传统工艺中不会成为优势菌种的微生物在本工艺中出现，可去除许多传统工艺无法去除的污染物，促使生化反应更彻底。由于膜的孔径小，出水清澈，出水水质大大优于传统工艺。流程简单，操作管理方便，运行稳定。无大量的深度处理设施，设备间占地面积也较小。</w:t>
            </w:r>
          </w:p>
          <w:p w14:paraId="49D826D6">
            <w:pPr>
              <w:pStyle w:val="36"/>
              <w:ind w:firstLine="480"/>
              <w:rPr>
                <w:rFonts w:hint="default"/>
              </w:rPr>
            </w:pPr>
            <w:r>
              <w:rPr>
                <w:rFonts w:hint="eastAsia"/>
                <w:lang w:eastAsia="zh-CN"/>
              </w:rPr>
              <w:t>（</w:t>
            </w:r>
            <w:r>
              <w:rPr>
                <w:rFonts w:hint="eastAsia"/>
                <w:lang w:val="en-US" w:eastAsia="zh-CN"/>
              </w:rPr>
              <w:t>4</w:t>
            </w:r>
            <w:r>
              <w:rPr>
                <w:rFonts w:hint="eastAsia"/>
                <w:lang w:eastAsia="zh-CN"/>
              </w:rPr>
              <w:t>）</w:t>
            </w:r>
            <w:r>
              <w:rPr>
                <w:rFonts w:hint="default"/>
              </w:rPr>
              <w:t>工艺方案的确定</w:t>
            </w:r>
          </w:p>
          <w:p w14:paraId="088B2C7B">
            <w:pPr>
              <w:pStyle w:val="36"/>
              <w:ind w:firstLine="480"/>
              <w:rPr>
                <w:rFonts w:hint="default"/>
              </w:rPr>
            </w:pPr>
            <w:r>
              <w:rPr>
                <w:rFonts w:hint="default"/>
              </w:rPr>
              <w:t>综上所述，对以上</w:t>
            </w:r>
            <w:r>
              <w:rPr>
                <w:rFonts w:hint="eastAsia"/>
                <w:lang w:eastAsia="zh-CN"/>
              </w:rPr>
              <w:t>三种</w:t>
            </w:r>
            <w:r>
              <w:rPr>
                <w:rFonts w:hint="default"/>
              </w:rPr>
              <w:t>方案对角度进行技术经济比较，对比如下：</w:t>
            </w:r>
          </w:p>
          <w:p w14:paraId="368D2DE3">
            <w:pPr>
              <w:pStyle w:val="52"/>
              <w:bidi w:val="0"/>
              <w:rPr>
                <w:rFonts w:hint="default"/>
              </w:rPr>
            </w:pPr>
            <w:r>
              <w:rPr>
                <w:rFonts w:hint="default"/>
              </w:rPr>
              <w:t>三个方案技术经济比较</w:t>
            </w:r>
            <w:r>
              <w:rPr>
                <w:rFonts w:hint="eastAsia"/>
                <w:lang w:val="en-US" w:eastAsia="zh-CN"/>
              </w:rPr>
              <w:t>一览</w:t>
            </w:r>
            <w:r>
              <w:rPr>
                <w:rFonts w:hint="default"/>
              </w:rPr>
              <w:t>表</w:t>
            </w:r>
          </w:p>
          <w:tbl>
            <w:tblPr>
              <w:tblStyle w:val="129"/>
              <w:tblW w:w="8526" w:type="dxa"/>
              <w:tblInd w:w="4"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743"/>
              <w:gridCol w:w="2258"/>
              <w:gridCol w:w="2259"/>
              <w:gridCol w:w="2266"/>
            </w:tblGrid>
            <w:tr w14:paraId="11B257E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46982DA1">
                  <w:pPr>
                    <w:pStyle w:val="38"/>
                    <w:bidi w:val="0"/>
                    <w:ind w:left="0" w:leftChars="0" w:right="0" w:rightChars="0" w:firstLine="0" w:firstLineChars="0"/>
                    <w:jc w:val="center"/>
                    <w:rPr>
                      <w:b/>
                      <w:bCs/>
                    </w:rPr>
                  </w:pPr>
                  <w:r>
                    <w:rPr>
                      <w:b/>
                      <w:bCs/>
                    </w:rPr>
                    <w:t>项目</w:t>
                  </w:r>
                </w:p>
              </w:tc>
              <w:tc>
                <w:tcPr>
                  <w:tcW w:w="2258" w:type="dxa"/>
                  <w:tcBorders>
                    <w:tl2br w:val="nil"/>
                    <w:tr2bl w:val="nil"/>
                  </w:tcBorders>
                  <w:vAlign w:val="center"/>
                </w:tcPr>
                <w:p w14:paraId="66BF95FC">
                  <w:pPr>
                    <w:pStyle w:val="38"/>
                    <w:bidi w:val="0"/>
                    <w:ind w:left="0" w:leftChars="0" w:right="0" w:rightChars="0" w:firstLine="0" w:firstLineChars="0"/>
                    <w:jc w:val="center"/>
                    <w:rPr>
                      <w:b/>
                      <w:bCs/>
                    </w:rPr>
                  </w:pPr>
                  <w:r>
                    <w:rPr>
                      <w:b/>
                      <w:bCs/>
                    </w:rPr>
                    <w:t>方案一</w:t>
                  </w:r>
                </w:p>
              </w:tc>
              <w:tc>
                <w:tcPr>
                  <w:tcW w:w="2259" w:type="dxa"/>
                  <w:tcBorders>
                    <w:tl2br w:val="nil"/>
                    <w:tr2bl w:val="nil"/>
                  </w:tcBorders>
                  <w:vAlign w:val="center"/>
                </w:tcPr>
                <w:p w14:paraId="1DE3E58B">
                  <w:pPr>
                    <w:pStyle w:val="38"/>
                    <w:bidi w:val="0"/>
                    <w:ind w:left="0" w:leftChars="0" w:right="0" w:rightChars="0" w:firstLine="0" w:firstLineChars="0"/>
                    <w:jc w:val="center"/>
                    <w:rPr>
                      <w:b/>
                      <w:bCs/>
                    </w:rPr>
                  </w:pPr>
                  <w:r>
                    <w:rPr>
                      <w:b/>
                      <w:bCs/>
                    </w:rPr>
                    <w:t>方案二</w:t>
                  </w:r>
                </w:p>
              </w:tc>
              <w:tc>
                <w:tcPr>
                  <w:tcW w:w="2266" w:type="dxa"/>
                  <w:tcBorders>
                    <w:tl2br w:val="nil"/>
                    <w:tr2bl w:val="nil"/>
                  </w:tcBorders>
                  <w:vAlign w:val="center"/>
                </w:tcPr>
                <w:p w14:paraId="755529AD">
                  <w:pPr>
                    <w:pStyle w:val="38"/>
                    <w:bidi w:val="0"/>
                    <w:ind w:left="0" w:leftChars="0" w:right="0" w:rightChars="0" w:firstLine="0" w:firstLineChars="0"/>
                    <w:jc w:val="center"/>
                    <w:rPr>
                      <w:b/>
                      <w:bCs/>
                    </w:rPr>
                  </w:pPr>
                  <w:r>
                    <w:rPr>
                      <w:b/>
                      <w:bCs/>
                    </w:rPr>
                    <w:t>方案三</w:t>
                  </w:r>
                </w:p>
              </w:tc>
            </w:tr>
            <w:tr w14:paraId="00C7921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3DB0CF46">
                  <w:pPr>
                    <w:pStyle w:val="38"/>
                    <w:bidi w:val="0"/>
                    <w:ind w:left="0" w:leftChars="0" w:right="0" w:rightChars="0" w:firstLine="0" w:firstLineChars="0"/>
                    <w:jc w:val="center"/>
                  </w:pPr>
                  <w:r>
                    <w:t>基本工艺流程</w:t>
                  </w:r>
                </w:p>
              </w:tc>
              <w:tc>
                <w:tcPr>
                  <w:tcW w:w="2258" w:type="dxa"/>
                  <w:tcBorders>
                    <w:tl2br w:val="nil"/>
                    <w:tr2bl w:val="nil"/>
                  </w:tcBorders>
                  <w:vAlign w:val="center"/>
                </w:tcPr>
                <w:p w14:paraId="2F4E9A8E">
                  <w:pPr>
                    <w:pStyle w:val="38"/>
                    <w:bidi w:val="0"/>
                    <w:ind w:left="0" w:leftChars="0" w:right="0" w:rightChars="0" w:firstLine="0" w:firstLineChars="0"/>
                    <w:jc w:val="center"/>
                  </w:pPr>
                  <w:r>
                    <w:t>原水－A2/O－二沉池-反硝化深床过滤</w:t>
                  </w:r>
                </w:p>
              </w:tc>
              <w:tc>
                <w:tcPr>
                  <w:tcW w:w="2259" w:type="dxa"/>
                  <w:tcBorders>
                    <w:tl2br w:val="nil"/>
                    <w:tr2bl w:val="nil"/>
                  </w:tcBorders>
                  <w:vAlign w:val="center"/>
                </w:tcPr>
                <w:p w14:paraId="0052BDF9">
                  <w:pPr>
                    <w:pStyle w:val="38"/>
                    <w:bidi w:val="0"/>
                    <w:ind w:left="0" w:leftChars="0" w:right="0" w:rightChars="0" w:firstLine="0" w:firstLineChars="0"/>
                    <w:jc w:val="center"/>
                  </w:pPr>
                  <w:r>
                    <w:t>原水－A2/O－二沉池-磁混凝高效沉淀—滤布滤池</w:t>
                  </w:r>
                </w:p>
              </w:tc>
              <w:tc>
                <w:tcPr>
                  <w:tcW w:w="2266" w:type="dxa"/>
                  <w:tcBorders>
                    <w:tl2br w:val="nil"/>
                    <w:tr2bl w:val="nil"/>
                  </w:tcBorders>
                  <w:vAlign w:val="center"/>
                </w:tcPr>
                <w:p w14:paraId="03BC1D8B">
                  <w:pPr>
                    <w:pStyle w:val="38"/>
                    <w:bidi w:val="0"/>
                    <w:ind w:left="0" w:leftChars="0" w:right="0" w:rightChars="0" w:firstLine="0" w:firstLineChars="0"/>
                    <w:jc w:val="center"/>
                  </w:pPr>
                  <w:r>
                    <w:t>原水－A2/O－MBR</w:t>
                  </w:r>
                </w:p>
              </w:tc>
            </w:tr>
            <w:tr w14:paraId="36F110F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01E548E0">
                  <w:pPr>
                    <w:pStyle w:val="38"/>
                    <w:bidi w:val="0"/>
                    <w:ind w:left="0" w:leftChars="0" w:right="0" w:rightChars="0" w:firstLine="0" w:firstLineChars="0"/>
                    <w:jc w:val="center"/>
                  </w:pPr>
                  <w:r>
                    <w:t>设计出水标准</w:t>
                  </w:r>
                </w:p>
              </w:tc>
              <w:tc>
                <w:tcPr>
                  <w:tcW w:w="2258" w:type="dxa"/>
                  <w:tcBorders>
                    <w:tl2br w:val="nil"/>
                    <w:tr2bl w:val="nil"/>
                  </w:tcBorders>
                  <w:vAlign w:val="center"/>
                </w:tcPr>
                <w:p w14:paraId="3BCA2F73">
                  <w:pPr>
                    <w:pStyle w:val="38"/>
                    <w:bidi w:val="0"/>
                    <w:ind w:left="0" w:leftChars="0" w:right="0" w:rightChars="0" w:firstLine="0" w:firstLineChars="0"/>
                    <w:jc w:val="center"/>
                  </w:pPr>
                  <w:r>
                    <w:t>一级A</w:t>
                  </w:r>
                </w:p>
              </w:tc>
              <w:tc>
                <w:tcPr>
                  <w:tcW w:w="2259" w:type="dxa"/>
                  <w:tcBorders>
                    <w:tl2br w:val="nil"/>
                    <w:tr2bl w:val="nil"/>
                  </w:tcBorders>
                  <w:vAlign w:val="center"/>
                </w:tcPr>
                <w:p w14:paraId="425AE223">
                  <w:pPr>
                    <w:pStyle w:val="38"/>
                    <w:bidi w:val="0"/>
                    <w:ind w:left="0" w:leftChars="0" w:right="0" w:rightChars="0" w:firstLine="0" w:firstLineChars="0"/>
                    <w:jc w:val="center"/>
                  </w:pPr>
                  <w:r>
                    <w:t>一级A</w:t>
                  </w:r>
                </w:p>
              </w:tc>
              <w:tc>
                <w:tcPr>
                  <w:tcW w:w="2266" w:type="dxa"/>
                  <w:tcBorders>
                    <w:tl2br w:val="nil"/>
                    <w:tr2bl w:val="nil"/>
                  </w:tcBorders>
                  <w:vAlign w:val="center"/>
                </w:tcPr>
                <w:p w14:paraId="1D58B92B">
                  <w:pPr>
                    <w:pStyle w:val="38"/>
                    <w:bidi w:val="0"/>
                    <w:ind w:left="0" w:leftChars="0" w:right="0" w:rightChars="0" w:firstLine="0" w:firstLineChars="0"/>
                    <w:jc w:val="center"/>
                  </w:pPr>
                  <w:r>
                    <w:t>一级A/准Ⅳ类</w:t>
                  </w:r>
                </w:p>
              </w:tc>
            </w:tr>
            <w:tr w14:paraId="0E984C0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6071FE54">
                  <w:pPr>
                    <w:pStyle w:val="38"/>
                    <w:bidi w:val="0"/>
                    <w:ind w:left="0" w:leftChars="0" w:right="0" w:rightChars="0" w:firstLine="0" w:firstLineChars="0"/>
                    <w:jc w:val="center"/>
                  </w:pPr>
                  <w:r>
                    <w:t>处理原理</w:t>
                  </w:r>
                </w:p>
              </w:tc>
              <w:tc>
                <w:tcPr>
                  <w:tcW w:w="2258" w:type="dxa"/>
                  <w:tcBorders>
                    <w:tl2br w:val="nil"/>
                    <w:tr2bl w:val="nil"/>
                  </w:tcBorders>
                  <w:vAlign w:val="center"/>
                </w:tcPr>
                <w:p w14:paraId="6AA9A3A1">
                  <w:pPr>
                    <w:pStyle w:val="38"/>
                    <w:bidi w:val="0"/>
                    <w:ind w:left="0" w:leftChars="0" w:right="0" w:rightChars="0" w:firstLine="0" w:firstLineChars="0"/>
                    <w:jc w:val="center"/>
                  </w:pPr>
                  <w:r>
                    <w:t>生物法处理</w:t>
                  </w:r>
                </w:p>
              </w:tc>
              <w:tc>
                <w:tcPr>
                  <w:tcW w:w="2259" w:type="dxa"/>
                  <w:tcBorders>
                    <w:tl2br w:val="nil"/>
                    <w:tr2bl w:val="nil"/>
                  </w:tcBorders>
                  <w:vAlign w:val="center"/>
                </w:tcPr>
                <w:p w14:paraId="78FACA0D">
                  <w:pPr>
                    <w:pStyle w:val="38"/>
                    <w:bidi w:val="0"/>
                    <w:ind w:left="0" w:leftChars="0" w:right="0" w:rightChars="0" w:firstLine="0" w:firstLineChars="0"/>
                    <w:jc w:val="center"/>
                  </w:pPr>
                  <w:r>
                    <w:t>生物法处理</w:t>
                  </w:r>
                </w:p>
              </w:tc>
              <w:tc>
                <w:tcPr>
                  <w:tcW w:w="2266" w:type="dxa"/>
                  <w:tcBorders>
                    <w:tl2br w:val="nil"/>
                    <w:tr2bl w:val="nil"/>
                  </w:tcBorders>
                  <w:vAlign w:val="center"/>
                </w:tcPr>
                <w:p w14:paraId="56767DD1">
                  <w:pPr>
                    <w:pStyle w:val="38"/>
                    <w:bidi w:val="0"/>
                    <w:ind w:left="0" w:leftChars="0" w:right="0" w:rightChars="0" w:firstLine="0" w:firstLineChars="0"/>
                    <w:jc w:val="center"/>
                  </w:pPr>
                  <w:r>
                    <w:t>强化的生物处理</w:t>
                  </w:r>
                </w:p>
              </w:tc>
            </w:tr>
            <w:tr w14:paraId="04D2261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588D59B6">
                  <w:pPr>
                    <w:pStyle w:val="38"/>
                    <w:bidi w:val="0"/>
                    <w:ind w:left="0" w:leftChars="0" w:right="0" w:rightChars="0" w:firstLine="0" w:firstLineChars="0"/>
                    <w:jc w:val="center"/>
                  </w:pPr>
                  <w:r>
                    <w:t>处理效果</w:t>
                  </w:r>
                </w:p>
              </w:tc>
              <w:tc>
                <w:tcPr>
                  <w:tcW w:w="2258" w:type="dxa"/>
                  <w:tcBorders>
                    <w:tl2br w:val="nil"/>
                    <w:tr2bl w:val="nil"/>
                  </w:tcBorders>
                  <w:vAlign w:val="center"/>
                </w:tcPr>
                <w:p w14:paraId="01EF8B8F">
                  <w:pPr>
                    <w:pStyle w:val="38"/>
                    <w:bidi w:val="0"/>
                    <w:ind w:left="0" w:leftChars="0" w:right="0" w:rightChars="0" w:firstLine="0" w:firstLineChars="0"/>
                    <w:jc w:val="center"/>
                  </w:pPr>
                  <w:r>
                    <w:t>出水水质不稳定</w:t>
                  </w:r>
                </w:p>
              </w:tc>
              <w:tc>
                <w:tcPr>
                  <w:tcW w:w="2259" w:type="dxa"/>
                  <w:tcBorders>
                    <w:tl2br w:val="nil"/>
                    <w:tr2bl w:val="nil"/>
                  </w:tcBorders>
                  <w:vAlign w:val="center"/>
                </w:tcPr>
                <w:p w14:paraId="6914E39A">
                  <w:pPr>
                    <w:pStyle w:val="38"/>
                    <w:bidi w:val="0"/>
                    <w:ind w:left="0" w:leftChars="0" w:right="0" w:rightChars="0" w:firstLine="0" w:firstLineChars="0"/>
                    <w:jc w:val="center"/>
                  </w:pPr>
                  <w:r>
                    <w:t>出水水质较好</w:t>
                  </w:r>
                </w:p>
              </w:tc>
              <w:tc>
                <w:tcPr>
                  <w:tcW w:w="2266" w:type="dxa"/>
                  <w:tcBorders>
                    <w:tl2br w:val="nil"/>
                    <w:tr2bl w:val="nil"/>
                  </w:tcBorders>
                  <w:vAlign w:val="center"/>
                </w:tcPr>
                <w:p w14:paraId="2148469D">
                  <w:pPr>
                    <w:pStyle w:val="38"/>
                    <w:bidi w:val="0"/>
                    <w:ind w:left="0" w:leftChars="0" w:right="0" w:rightChars="0" w:firstLine="0" w:firstLineChars="0"/>
                    <w:jc w:val="center"/>
                  </w:pPr>
                  <w:r>
                    <w:t>出水水质好</w:t>
                  </w:r>
                </w:p>
              </w:tc>
            </w:tr>
            <w:tr w14:paraId="37FEDD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6E779A54">
                  <w:pPr>
                    <w:pStyle w:val="38"/>
                    <w:bidi w:val="0"/>
                    <w:ind w:left="0" w:leftChars="0" w:right="0" w:rightChars="0" w:firstLine="0" w:firstLineChars="0"/>
                    <w:jc w:val="center"/>
                  </w:pPr>
                  <w:r>
                    <w:t>出水水质稳定性</w:t>
                  </w:r>
                </w:p>
              </w:tc>
              <w:tc>
                <w:tcPr>
                  <w:tcW w:w="2258" w:type="dxa"/>
                  <w:tcBorders>
                    <w:tl2br w:val="nil"/>
                    <w:tr2bl w:val="nil"/>
                  </w:tcBorders>
                  <w:vAlign w:val="center"/>
                </w:tcPr>
                <w:p w14:paraId="638825BE">
                  <w:pPr>
                    <w:pStyle w:val="38"/>
                    <w:bidi w:val="0"/>
                    <w:ind w:left="0" w:leftChars="0" w:right="0" w:rightChars="0" w:firstLine="0" w:firstLineChars="0"/>
                    <w:jc w:val="center"/>
                  </w:pPr>
                  <w:r>
                    <w:t>较差</w:t>
                  </w:r>
                </w:p>
              </w:tc>
              <w:tc>
                <w:tcPr>
                  <w:tcW w:w="2259" w:type="dxa"/>
                  <w:tcBorders>
                    <w:tl2br w:val="nil"/>
                    <w:tr2bl w:val="nil"/>
                  </w:tcBorders>
                  <w:vAlign w:val="center"/>
                </w:tcPr>
                <w:p w14:paraId="778D8E95">
                  <w:pPr>
                    <w:pStyle w:val="38"/>
                    <w:bidi w:val="0"/>
                    <w:ind w:left="0" w:leftChars="0" w:right="0" w:rightChars="0" w:firstLine="0" w:firstLineChars="0"/>
                    <w:jc w:val="center"/>
                  </w:pPr>
                  <w:r>
                    <w:t>较好</w:t>
                  </w:r>
                </w:p>
              </w:tc>
              <w:tc>
                <w:tcPr>
                  <w:tcW w:w="2266" w:type="dxa"/>
                  <w:tcBorders>
                    <w:tl2br w:val="nil"/>
                    <w:tr2bl w:val="nil"/>
                  </w:tcBorders>
                  <w:vAlign w:val="center"/>
                </w:tcPr>
                <w:p w14:paraId="746CEB05">
                  <w:pPr>
                    <w:pStyle w:val="38"/>
                    <w:bidi w:val="0"/>
                    <w:ind w:left="0" w:leftChars="0" w:right="0" w:rightChars="0" w:firstLine="0" w:firstLineChars="0"/>
                    <w:jc w:val="center"/>
                  </w:pPr>
                  <w:r>
                    <w:t>好</w:t>
                  </w:r>
                </w:p>
              </w:tc>
            </w:tr>
            <w:tr w14:paraId="4308ED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235B37C4">
                  <w:pPr>
                    <w:pStyle w:val="38"/>
                    <w:bidi w:val="0"/>
                    <w:ind w:left="0" w:leftChars="0" w:right="0" w:rightChars="0" w:firstLine="0" w:firstLineChars="0"/>
                    <w:jc w:val="center"/>
                  </w:pPr>
                  <w:r>
                    <w:t>抗冲击负荷能力</w:t>
                  </w:r>
                </w:p>
              </w:tc>
              <w:tc>
                <w:tcPr>
                  <w:tcW w:w="2258" w:type="dxa"/>
                  <w:tcBorders>
                    <w:tl2br w:val="nil"/>
                    <w:tr2bl w:val="nil"/>
                  </w:tcBorders>
                  <w:vAlign w:val="center"/>
                </w:tcPr>
                <w:p w14:paraId="03D37B3D">
                  <w:pPr>
                    <w:pStyle w:val="38"/>
                    <w:bidi w:val="0"/>
                    <w:ind w:left="0" w:leftChars="0" w:right="0" w:rightChars="0" w:firstLine="0" w:firstLineChars="0"/>
                    <w:jc w:val="center"/>
                  </w:pPr>
                  <w:r>
                    <w:t>抗冲击负荷能力较强</w:t>
                  </w:r>
                </w:p>
              </w:tc>
              <w:tc>
                <w:tcPr>
                  <w:tcW w:w="2259" w:type="dxa"/>
                  <w:tcBorders>
                    <w:tl2br w:val="nil"/>
                    <w:tr2bl w:val="nil"/>
                  </w:tcBorders>
                  <w:vAlign w:val="center"/>
                </w:tcPr>
                <w:p w14:paraId="0801DFB6">
                  <w:pPr>
                    <w:pStyle w:val="38"/>
                    <w:bidi w:val="0"/>
                    <w:ind w:left="0" w:leftChars="0" w:right="0" w:rightChars="0" w:firstLine="0" w:firstLineChars="0"/>
                    <w:jc w:val="center"/>
                  </w:pPr>
                  <w:r>
                    <w:t>抗冲击负荷能力较强</w:t>
                  </w:r>
                </w:p>
              </w:tc>
              <w:tc>
                <w:tcPr>
                  <w:tcW w:w="2266" w:type="dxa"/>
                  <w:tcBorders>
                    <w:tl2br w:val="nil"/>
                    <w:tr2bl w:val="nil"/>
                  </w:tcBorders>
                  <w:vAlign w:val="center"/>
                </w:tcPr>
                <w:p w14:paraId="1B9DA746">
                  <w:pPr>
                    <w:pStyle w:val="38"/>
                    <w:bidi w:val="0"/>
                    <w:ind w:left="0" w:leftChars="0" w:right="0" w:rightChars="0" w:firstLine="0" w:firstLineChars="0"/>
                    <w:jc w:val="center"/>
                  </w:pPr>
                  <w:r>
                    <w:t>抗冲击负荷能力强</w:t>
                  </w:r>
                </w:p>
              </w:tc>
            </w:tr>
            <w:tr w14:paraId="2327F3E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781DB89C">
                  <w:pPr>
                    <w:pStyle w:val="38"/>
                    <w:bidi w:val="0"/>
                    <w:ind w:left="0" w:leftChars="0" w:right="0" w:rightChars="0" w:firstLine="0" w:firstLineChars="0"/>
                    <w:jc w:val="center"/>
                  </w:pPr>
                  <w:r>
                    <w:t>运营管理</w:t>
                  </w:r>
                </w:p>
              </w:tc>
              <w:tc>
                <w:tcPr>
                  <w:tcW w:w="2258" w:type="dxa"/>
                  <w:tcBorders>
                    <w:tl2br w:val="nil"/>
                    <w:tr2bl w:val="nil"/>
                  </w:tcBorders>
                  <w:vAlign w:val="center"/>
                </w:tcPr>
                <w:p w14:paraId="1954D241">
                  <w:pPr>
                    <w:pStyle w:val="38"/>
                    <w:bidi w:val="0"/>
                    <w:ind w:left="0" w:leftChars="0" w:right="0" w:rightChars="0" w:firstLine="0" w:firstLineChars="0"/>
                    <w:jc w:val="center"/>
                  </w:pPr>
                  <w:r>
                    <w:t>运行管理复杂运行费用低</w:t>
                  </w:r>
                </w:p>
              </w:tc>
              <w:tc>
                <w:tcPr>
                  <w:tcW w:w="2259" w:type="dxa"/>
                  <w:tcBorders>
                    <w:tl2br w:val="nil"/>
                    <w:tr2bl w:val="nil"/>
                  </w:tcBorders>
                  <w:vAlign w:val="center"/>
                </w:tcPr>
                <w:p w14:paraId="3110FF6A">
                  <w:pPr>
                    <w:pStyle w:val="38"/>
                    <w:bidi w:val="0"/>
                    <w:ind w:left="0" w:leftChars="0" w:right="0" w:rightChars="0" w:firstLine="0" w:firstLineChars="0"/>
                    <w:jc w:val="center"/>
                  </w:pPr>
                  <w:r>
                    <w:t>运行管理较复杂运行费用较低</w:t>
                  </w:r>
                </w:p>
              </w:tc>
              <w:tc>
                <w:tcPr>
                  <w:tcW w:w="2266" w:type="dxa"/>
                  <w:tcBorders>
                    <w:tl2br w:val="nil"/>
                    <w:tr2bl w:val="nil"/>
                  </w:tcBorders>
                  <w:vAlign w:val="center"/>
                </w:tcPr>
                <w:p w14:paraId="78AD8DC3">
                  <w:pPr>
                    <w:pStyle w:val="38"/>
                    <w:bidi w:val="0"/>
                    <w:ind w:left="0" w:leftChars="0" w:right="0" w:rightChars="0" w:firstLine="0" w:firstLineChars="0"/>
                    <w:jc w:val="center"/>
                  </w:pPr>
                  <w:r>
                    <w:t>运行管理简单运行费用稍高</w:t>
                  </w:r>
                </w:p>
              </w:tc>
            </w:tr>
            <w:tr w14:paraId="250DF0C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293DF9CC">
                  <w:pPr>
                    <w:pStyle w:val="38"/>
                    <w:bidi w:val="0"/>
                    <w:ind w:left="0" w:leftChars="0" w:right="0" w:rightChars="0" w:firstLine="0" w:firstLineChars="0"/>
                    <w:jc w:val="center"/>
                  </w:pPr>
                  <w:r>
                    <w:t>污泥处理</w:t>
                  </w:r>
                </w:p>
              </w:tc>
              <w:tc>
                <w:tcPr>
                  <w:tcW w:w="2258" w:type="dxa"/>
                  <w:tcBorders>
                    <w:tl2br w:val="nil"/>
                    <w:tr2bl w:val="nil"/>
                  </w:tcBorders>
                  <w:vAlign w:val="center"/>
                </w:tcPr>
                <w:p w14:paraId="40D7773C">
                  <w:pPr>
                    <w:pStyle w:val="38"/>
                    <w:bidi w:val="0"/>
                    <w:ind w:left="0" w:leftChars="0" w:right="0" w:rightChars="0" w:firstLine="0" w:firstLineChars="0"/>
                    <w:jc w:val="center"/>
                  </w:pPr>
                  <w:r>
                    <w:t>产泥量大，稳定性较差</w:t>
                  </w:r>
                </w:p>
              </w:tc>
              <w:tc>
                <w:tcPr>
                  <w:tcW w:w="2259" w:type="dxa"/>
                  <w:tcBorders>
                    <w:tl2br w:val="nil"/>
                    <w:tr2bl w:val="nil"/>
                  </w:tcBorders>
                  <w:vAlign w:val="center"/>
                </w:tcPr>
                <w:p w14:paraId="67DEA736">
                  <w:pPr>
                    <w:pStyle w:val="38"/>
                    <w:bidi w:val="0"/>
                    <w:ind w:left="0" w:leftChars="0" w:right="0" w:rightChars="0" w:firstLine="0" w:firstLineChars="0"/>
                    <w:jc w:val="center"/>
                  </w:pPr>
                  <w:r>
                    <w:t>产泥量较大，稳定性较差</w:t>
                  </w:r>
                </w:p>
              </w:tc>
              <w:tc>
                <w:tcPr>
                  <w:tcW w:w="2266" w:type="dxa"/>
                  <w:tcBorders>
                    <w:tl2br w:val="nil"/>
                    <w:tr2bl w:val="nil"/>
                  </w:tcBorders>
                  <w:vAlign w:val="center"/>
                </w:tcPr>
                <w:p w14:paraId="486E8B9F">
                  <w:pPr>
                    <w:pStyle w:val="38"/>
                    <w:bidi w:val="0"/>
                    <w:ind w:left="0" w:leftChars="0" w:right="0" w:rightChars="0" w:firstLine="0" w:firstLineChars="0"/>
                    <w:jc w:val="center"/>
                  </w:pPr>
                  <w:r>
                    <w:t>产泥量少，稳定性好</w:t>
                  </w:r>
                </w:p>
              </w:tc>
            </w:tr>
            <w:tr w14:paraId="5429F75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27C6AC6E">
                  <w:pPr>
                    <w:pStyle w:val="38"/>
                    <w:bidi w:val="0"/>
                    <w:ind w:left="0" w:leftChars="0" w:right="0" w:rightChars="0" w:firstLine="0" w:firstLineChars="0"/>
                    <w:jc w:val="center"/>
                  </w:pPr>
                  <w:r>
                    <w:t>基建费用</w:t>
                  </w:r>
                </w:p>
              </w:tc>
              <w:tc>
                <w:tcPr>
                  <w:tcW w:w="2258" w:type="dxa"/>
                  <w:tcBorders>
                    <w:tl2br w:val="nil"/>
                    <w:tr2bl w:val="nil"/>
                  </w:tcBorders>
                  <w:vAlign w:val="center"/>
                </w:tcPr>
                <w:p w14:paraId="4E2C4F78">
                  <w:pPr>
                    <w:pStyle w:val="38"/>
                    <w:bidi w:val="0"/>
                    <w:ind w:left="0" w:leftChars="0" w:right="0" w:rightChars="0" w:firstLine="0" w:firstLineChars="0"/>
                    <w:jc w:val="center"/>
                  </w:pPr>
                  <w:r>
                    <w:t>较高</w:t>
                  </w:r>
                </w:p>
              </w:tc>
              <w:tc>
                <w:tcPr>
                  <w:tcW w:w="2259" w:type="dxa"/>
                  <w:tcBorders>
                    <w:tl2br w:val="nil"/>
                    <w:tr2bl w:val="nil"/>
                  </w:tcBorders>
                  <w:vAlign w:val="center"/>
                </w:tcPr>
                <w:p w14:paraId="4A924975">
                  <w:pPr>
                    <w:pStyle w:val="38"/>
                    <w:bidi w:val="0"/>
                    <w:ind w:left="0" w:leftChars="0" w:right="0" w:rightChars="0" w:firstLine="0" w:firstLineChars="0"/>
                    <w:jc w:val="center"/>
                  </w:pPr>
                  <w:r>
                    <w:t>高</w:t>
                  </w:r>
                </w:p>
              </w:tc>
              <w:tc>
                <w:tcPr>
                  <w:tcW w:w="2266" w:type="dxa"/>
                  <w:tcBorders>
                    <w:tl2br w:val="nil"/>
                    <w:tr2bl w:val="nil"/>
                  </w:tcBorders>
                  <w:vAlign w:val="center"/>
                </w:tcPr>
                <w:p w14:paraId="6421694D">
                  <w:pPr>
                    <w:pStyle w:val="38"/>
                    <w:bidi w:val="0"/>
                    <w:ind w:left="0" w:leftChars="0" w:right="0" w:rightChars="0" w:firstLine="0" w:firstLineChars="0"/>
                    <w:jc w:val="center"/>
                  </w:pPr>
                  <w:r>
                    <w:t>较低</w:t>
                  </w:r>
                </w:p>
              </w:tc>
            </w:tr>
            <w:tr w14:paraId="2A0A41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1FF92CA3">
                  <w:pPr>
                    <w:pStyle w:val="38"/>
                    <w:bidi w:val="0"/>
                    <w:ind w:left="0" w:leftChars="0" w:right="0" w:rightChars="0" w:firstLine="0" w:firstLineChars="0"/>
                    <w:jc w:val="center"/>
                    <w:rPr>
                      <w:lang w:val="en-US" w:eastAsia="zh-CN"/>
                    </w:rPr>
                  </w:pPr>
                  <w:r>
                    <w:t>设备投资</w:t>
                  </w:r>
                </w:p>
              </w:tc>
              <w:tc>
                <w:tcPr>
                  <w:tcW w:w="2258" w:type="dxa"/>
                  <w:tcBorders>
                    <w:tl2br w:val="nil"/>
                    <w:tr2bl w:val="nil"/>
                  </w:tcBorders>
                  <w:vAlign w:val="center"/>
                </w:tcPr>
                <w:p w14:paraId="685AA6F5">
                  <w:pPr>
                    <w:pStyle w:val="38"/>
                    <w:bidi w:val="0"/>
                    <w:ind w:left="0" w:leftChars="0" w:right="0" w:rightChars="0" w:firstLine="0" w:firstLineChars="0"/>
                    <w:jc w:val="center"/>
                    <w:rPr>
                      <w:lang w:val="en-US" w:eastAsia="zh-CN"/>
                    </w:rPr>
                  </w:pPr>
                  <w:r>
                    <w:t>较低</w:t>
                  </w:r>
                </w:p>
              </w:tc>
              <w:tc>
                <w:tcPr>
                  <w:tcW w:w="2259" w:type="dxa"/>
                  <w:tcBorders>
                    <w:tl2br w:val="nil"/>
                    <w:tr2bl w:val="nil"/>
                  </w:tcBorders>
                  <w:vAlign w:val="center"/>
                </w:tcPr>
                <w:p w14:paraId="29DE26FA">
                  <w:pPr>
                    <w:pStyle w:val="38"/>
                    <w:bidi w:val="0"/>
                    <w:ind w:left="0" w:leftChars="0" w:right="0" w:rightChars="0" w:firstLine="0" w:firstLineChars="0"/>
                    <w:jc w:val="center"/>
                    <w:rPr>
                      <w:lang w:val="en-US" w:eastAsia="zh-CN"/>
                    </w:rPr>
                  </w:pPr>
                  <w:r>
                    <w:t>较高</w:t>
                  </w:r>
                </w:p>
              </w:tc>
              <w:tc>
                <w:tcPr>
                  <w:tcW w:w="2266" w:type="dxa"/>
                  <w:tcBorders>
                    <w:tl2br w:val="nil"/>
                    <w:tr2bl w:val="nil"/>
                  </w:tcBorders>
                  <w:vAlign w:val="center"/>
                </w:tcPr>
                <w:p w14:paraId="55C4D5A5">
                  <w:pPr>
                    <w:pStyle w:val="38"/>
                    <w:bidi w:val="0"/>
                    <w:ind w:left="0" w:leftChars="0" w:right="0" w:rightChars="0" w:firstLine="0" w:firstLineChars="0"/>
                    <w:jc w:val="center"/>
                    <w:rPr>
                      <w:lang w:val="en-US" w:eastAsia="zh-CN"/>
                    </w:rPr>
                  </w:pPr>
                  <w:r>
                    <w:t>高</w:t>
                  </w:r>
                </w:p>
              </w:tc>
            </w:tr>
            <w:tr w14:paraId="63C567E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75B6925C">
                  <w:pPr>
                    <w:pStyle w:val="38"/>
                    <w:bidi w:val="0"/>
                    <w:ind w:left="0" w:leftChars="0" w:right="0" w:rightChars="0" w:firstLine="0" w:firstLineChars="0"/>
                    <w:jc w:val="center"/>
                    <w:rPr>
                      <w:lang w:val="en-US" w:eastAsia="zh-CN"/>
                    </w:rPr>
                  </w:pPr>
                  <w:r>
                    <w:t>占地面积</w:t>
                  </w:r>
                </w:p>
              </w:tc>
              <w:tc>
                <w:tcPr>
                  <w:tcW w:w="2258" w:type="dxa"/>
                  <w:tcBorders>
                    <w:tl2br w:val="nil"/>
                    <w:tr2bl w:val="nil"/>
                  </w:tcBorders>
                  <w:vAlign w:val="center"/>
                </w:tcPr>
                <w:p w14:paraId="22F1A311">
                  <w:pPr>
                    <w:pStyle w:val="38"/>
                    <w:bidi w:val="0"/>
                    <w:ind w:left="0" w:leftChars="0" w:right="0" w:rightChars="0" w:firstLine="0" w:firstLineChars="0"/>
                    <w:jc w:val="center"/>
                    <w:rPr>
                      <w:lang w:val="en-US" w:eastAsia="zh-CN"/>
                    </w:rPr>
                  </w:pPr>
                  <w:r>
                    <w:t>大</w:t>
                  </w:r>
                </w:p>
              </w:tc>
              <w:tc>
                <w:tcPr>
                  <w:tcW w:w="2259" w:type="dxa"/>
                  <w:tcBorders>
                    <w:tl2br w:val="nil"/>
                    <w:tr2bl w:val="nil"/>
                  </w:tcBorders>
                  <w:vAlign w:val="center"/>
                </w:tcPr>
                <w:p w14:paraId="33094085">
                  <w:pPr>
                    <w:pStyle w:val="38"/>
                    <w:bidi w:val="0"/>
                    <w:ind w:left="0" w:leftChars="0" w:right="0" w:rightChars="0" w:firstLine="0" w:firstLineChars="0"/>
                    <w:jc w:val="center"/>
                    <w:rPr>
                      <w:lang w:val="en-US" w:eastAsia="zh-CN"/>
                    </w:rPr>
                  </w:pPr>
                  <w:r>
                    <w:t>大</w:t>
                  </w:r>
                </w:p>
              </w:tc>
              <w:tc>
                <w:tcPr>
                  <w:tcW w:w="2266" w:type="dxa"/>
                  <w:tcBorders>
                    <w:tl2br w:val="nil"/>
                    <w:tr2bl w:val="nil"/>
                  </w:tcBorders>
                  <w:vAlign w:val="center"/>
                </w:tcPr>
                <w:p w14:paraId="0CC59322">
                  <w:pPr>
                    <w:pStyle w:val="38"/>
                    <w:bidi w:val="0"/>
                    <w:ind w:left="0" w:leftChars="0" w:right="0" w:rightChars="0" w:firstLine="0" w:firstLineChars="0"/>
                    <w:jc w:val="center"/>
                    <w:rPr>
                      <w:lang w:val="en-US" w:eastAsia="zh-CN"/>
                    </w:rPr>
                  </w:pPr>
                  <w:r>
                    <w:t>小</w:t>
                  </w:r>
                </w:p>
              </w:tc>
            </w:tr>
            <w:tr w14:paraId="675E744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3B1B3165">
                  <w:pPr>
                    <w:pStyle w:val="38"/>
                    <w:bidi w:val="0"/>
                    <w:ind w:left="0" w:leftChars="0" w:right="0" w:rightChars="0" w:firstLine="0" w:firstLineChars="0"/>
                    <w:jc w:val="center"/>
                    <w:rPr>
                      <w:lang w:val="en-US" w:eastAsia="zh-CN"/>
                    </w:rPr>
                  </w:pPr>
                  <w:r>
                    <w:t>对周边影响</w:t>
                  </w:r>
                </w:p>
              </w:tc>
              <w:tc>
                <w:tcPr>
                  <w:tcW w:w="2258" w:type="dxa"/>
                  <w:tcBorders>
                    <w:tl2br w:val="nil"/>
                    <w:tr2bl w:val="nil"/>
                  </w:tcBorders>
                  <w:vAlign w:val="center"/>
                </w:tcPr>
                <w:p w14:paraId="2107E274">
                  <w:pPr>
                    <w:pStyle w:val="38"/>
                    <w:bidi w:val="0"/>
                    <w:ind w:left="0" w:leftChars="0" w:right="0" w:rightChars="0" w:firstLine="0" w:firstLineChars="0"/>
                    <w:jc w:val="center"/>
                    <w:rPr>
                      <w:lang w:val="en-US" w:eastAsia="zh-CN"/>
                    </w:rPr>
                  </w:pPr>
                  <w:r>
                    <w:t>大</w:t>
                  </w:r>
                </w:p>
              </w:tc>
              <w:tc>
                <w:tcPr>
                  <w:tcW w:w="2259" w:type="dxa"/>
                  <w:tcBorders>
                    <w:tl2br w:val="nil"/>
                    <w:tr2bl w:val="nil"/>
                  </w:tcBorders>
                  <w:vAlign w:val="center"/>
                </w:tcPr>
                <w:p w14:paraId="6A3D6889">
                  <w:pPr>
                    <w:pStyle w:val="38"/>
                    <w:bidi w:val="0"/>
                    <w:ind w:left="0" w:leftChars="0" w:right="0" w:rightChars="0" w:firstLine="0" w:firstLineChars="0"/>
                    <w:jc w:val="center"/>
                    <w:rPr>
                      <w:lang w:val="en-US" w:eastAsia="zh-CN"/>
                    </w:rPr>
                  </w:pPr>
                  <w:r>
                    <w:t>较小</w:t>
                  </w:r>
                </w:p>
              </w:tc>
              <w:tc>
                <w:tcPr>
                  <w:tcW w:w="2266" w:type="dxa"/>
                  <w:tcBorders>
                    <w:tl2br w:val="nil"/>
                    <w:tr2bl w:val="nil"/>
                  </w:tcBorders>
                  <w:vAlign w:val="center"/>
                </w:tcPr>
                <w:p w14:paraId="6ECCC8FF">
                  <w:pPr>
                    <w:pStyle w:val="38"/>
                    <w:bidi w:val="0"/>
                    <w:ind w:left="0" w:leftChars="0" w:right="0" w:rightChars="0" w:firstLine="0" w:firstLineChars="0"/>
                    <w:jc w:val="center"/>
                    <w:rPr>
                      <w:lang w:val="en-US" w:eastAsia="zh-CN"/>
                    </w:rPr>
                  </w:pPr>
                  <w:r>
                    <w:t>小</w:t>
                  </w:r>
                </w:p>
              </w:tc>
            </w:tr>
            <w:tr w14:paraId="1E0E9A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7DE4F0E4">
                  <w:pPr>
                    <w:pStyle w:val="38"/>
                    <w:bidi w:val="0"/>
                    <w:ind w:left="0" w:leftChars="0" w:right="0" w:rightChars="0" w:firstLine="0" w:firstLineChars="0"/>
                    <w:jc w:val="center"/>
                    <w:rPr>
                      <w:lang w:val="en-US" w:eastAsia="zh-CN"/>
                    </w:rPr>
                  </w:pPr>
                  <w:r>
                    <w:t>工程投资</w:t>
                  </w:r>
                </w:p>
              </w:tc>
              <w:tc>
                <w:tcPr>
                  <w:tcW w:w="2258" w:type="dxa"/>
                  <w:tcBorders>
                    <w:tl2br w:val="nil"/>
                    <w:tr2bl w:val="nil"/>
                  </w:tcBorders>
                  <w:vAlign w:val="center"/>
                </w:tcPr>
                <w:p w14:paraId="20BDA319">
                  <w:pPr>
                    <w:pStyle w:val="38"/>
                    <w:bidi w:val="0"/>
                    <w:ind w:left="0" w:leftChars="0" w:right="0" w:rightChars="0" w:firstLine="0" w:firstLineChars="0"/>
                    <w:jc w:val="center"/>
                    <w:rPr>
                      <w:lang w:val="en-US" w:eastAsia="zh-CN"/>
                    </w:rPr>
                  </w:pPr>
                  <w:r>
                    <w:t>较低</w:t>
                  </w:r>
                </w:p>
              </w:tc>
              <w:tc>
                <w:tcPr>
                  <w:tcW w:w="2259" w:type="dxa"/>
                  <w:tcBorders>
                    <w:tl2br w:val="nil"/>
                    <w:tr2bl w:val="nil"/>
                  </w:tcBorders>
                  <w:vAlign w:val="center"/>
                </w:tcPr>
                <w:p w14:paraId="6E6C90CE">
                  <w:pPr>
                    <w:pStyle w:val="38"/>
                    <w:bidi w:val="0"/>
                    <w:ind w:left="0" w:leftChars="0" w:right="0" w:rightChars="0" w:firstLine="0" w:firstLineChars="0"/>
                    <w:jc w:val="center"/>
                    <w:rPr>
                      <w:lang w:val="en-US" w:eastAsia="zh-CN"/>
                    </w:rPr>
                  </w:pPr>
                  <w:r>
                    <w:t>中</w:t>
                  </w:r>
                </w:p>
              </w:tc>
              <w:tc>
                <w:tcPr>
                  <w:tcW w:w="2266" w:type="dxa"/>
                  <w:tcBorders>
                    <w:tl2br w:val="nil"/>
                    <w:tr2bl w:val="nil"/>
                  </w:tcBorders>
                  <w:vAlign w:val="center"/>
                </w:tcPr>
                <w:p w14:paraId="11D7FAC2">
                  <w:pPr>
                    <w:pStyle w:val="38"/>
                    <w:bidi w:val="0"/>
                    <w:ind w:left="0" w:leftChars="0" w:right="0" w:rightChars="0" w:firstLine="0" w:firstLineChars="0"/>
                    <w:jc w:val="center"/>
                    <w:rPr>
                      <w:lang w:val="en-US" w:eastAsia="zh-CN"/>
                    </w:rPr>
                  </w:pPr>
                  <w:r>
                    <w:t>中</w:t>
                  </w:r>
                </w:p>
              </w:tc>
            </w:tr>
            <w:tr w14:paraId="09D25D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43" w:type="dxa"/>
                  <w:tcBorders>
                    <w:tl2br w:val="nil"/>
                    <w:tr2bl w:val="nil"/>
                  </w:tcBorders>
                  <w:vAlign w:val="center"/>
                </w:tcPr>
                <w:p w14:paraId="091D89A5">
                  <w:pPr>
                    <w:pStyle w:val="38"/>
                    <w:bidi w:val="0"/>
                    <w:ind w:left="0" w:leftChars="0" w:right="0" w:rightChars="0" w:firstLine="0" w:firstLineChars="0"/>
                    <w:jc w:val="center"/>
                    <w:rPr>
                      <w:lang w:val="en-US" w:eastAsia="zh-CN"/>
                    </w:rPr>
                  </w:pPr>
                  <w:r>
                    <w:t>综合评价</w:t>
                  </w:r>
                </w:p>
              </w:tc>
              <w:tc>
                <w:tcPr>
                  <w:tcW w:w="2258" w:type="dxa"/>
                  <w:tcBorders>
                    <w:tl2br w:val="nil"/>
                    <w:tr2bl w:val="nil"/>
                  </w:tcBorders>
                  <w:vAlign w:val="center"/>
                </w:tcPr>
                <w:p w14:paraId="6A4CDC82">
                  <w:pPr>
                    <w:pStyle w:val="38"/>
                    <w:bidi w:val="0"/>
                    <w:ind w:left="0" w:leftChars="0" w:right="0" w:rightChars="0" w:firstLine="0" w:firstLineChars="0"/>
                    <w:jc w:val="center"/>
                    <w:rPr>
                      <w:lang w:val="en-US" w:eastAsia="zh-CN"/>
                    </w:rPr>
                  </w:pPr>
                  <w:r>
                    <w:t>不推荐</w:t>
                  </w:r>
                </w:p>
              </w:tc>
              <w:tc>
                <w:tcPr>
                  <w:tcW w:w="2259" w:type="dxa"/>
                  <w:tcBorders>
                    <w:tl2br w:val="nil"/>
                    <w:tr2bl w:val="nil"/>
                  </w:tcBorders>
                  <w:vAlign w:val="center"/>
                </w:tcPr>
                <w:p w14:paraId="21239E85">
                  <w:pPr>
                    <w:pStyle w:val="38"/>
                    <w:bidi w:val="0"/>
                    <w:ind w:left="0" w:leftChars="0" w:right="0" w:rightChars="0" w:firstLine="0" w:firstLineChars="0"/>
                    <w:jc w:val="center"/>
                    <w:rPr>
                      <w:lang w:val="en-US" w:eastAsia="zh-CN"/>
                    </w:rPr>
                  </w:pPr>
                  <w:r>
                    <w:t>较好，推荐</w:t>
                  </w:r>
                </w:p>
              </w:tc>
              <w:tc>
                <w:tcPr>
                  <w:tcW w:w="2266" w:type="dxa"/>
                  <w:tcBorders>
                    <w:tl2br w:val="nil"/>
                    <w:tr2bl w:val="nil"/>
                  </w:tcBorders>
                  <w:vAlign w:val="center"/>
                </w:tcPr>
                <w:p w14:paraId="5BB89321">
                  <w:pPr>
                    <w:pStyle w:val="38"/>
                    <w:bidi w:val="0"/>
                    <w:ind w:left="0" w:leftChars="0" w:right="0" w:rightChars="0" w:firstLine="0" w:firstLineChars="0"/>
                    <w:jc w:val="center"/>
                    <w:rPr>
                      <w:lang w:val="en-US" w:eastAsia="zh-CN"/>
                    </w:rPr>
                  </w:pPr>
                  <w:r>
                    <w:t>好，推荐</w:t>
                  </w:r>
                </w:p>
              </w:tc>
            </w:tr>
          </w:tbl>
          <w:p w14:paraId="5376A167">
            <w:pPr>
              <w:pStyle w:val="36"/>
              <w:ind w:firstLine="480"/>
              <w:rPr>
                <w:rFonts w:hint="default"/>
              </w:rPr>
            </w:pPr>
            <w:r>
              <w:rPr>
                <w:rFonts w:hint="default"/>
              </w:rPr>
              <w:t>根据以上分析，由于反硝化</w:t>
            </w:r>
            <w:r>
              <w:rPr>
                <w:rFonts w:hint="eastAsia"/>
                <w:lang w:eastAsia="zh-CN"/>
              </w:rPr>
              <w:t>生物滤池</w:t>
            </w:r>
            <w:r>
              <w:rPr>
                <w:rFonts w:hint="default"/>
              </w:rPr>
              <w:t>存在滤料跑漏问题，同时运行反硝化滤池另需增加碳源及定期反洗，运行管理复杂，因此不建议采用反硝化滤池。</w:t>
            </w:r>
          </w:p>
          <w:p w14:paraId="0828DF85">
            <w:pPr>
              <w:pStyle w:val="36"/>
              <w:ind w:firstLine="480"/>
              <w:rPr>
                <w:rFonts w:hint="default"/>
              </w:rPr>
            </w:pPr>
            <w:r>
              <w:rPr>
                <w:rFonts w:hint="default"/>
              </w:rPr>
              <w:t>考虑排入</w:t>
            </w:r>
            <w:r>
              <w:rPr>
                <w:rFonts w:hint="eastAsia"/>
                <w:lang w:eastAsia="zh-CN"/>
              </w:rPr>
              <w:t>青塘河</w:t>
            </w:r>
            <w:r>
              <w:rPr>
                <w:rFonts w:hint="default"/>
              </w:rPr>
              <w:t>的污水处理厂出水执行标准</w:t>
            </w:r>
            <w:r>
              <w:rPr>
                <w:rFonts w:hint="eastAsia"/>
                <w:lang w:val="en-US" w:eastAsia="zh-CN"/>
              </w:rPr>
              <w:t>要求</w:t>
            </w:r>
            <w:r>
              <w:rPr>
                <w:rFonts w:hint="default"/>
              </w:rPr>
              <w:t>，应采用出水水质更加稳定、抗冲击负荷更强的MBR工艺，同时结合选址用地面积及周边情况，综合分析后，</w:t>
            </w:r>
            <w:r>
              <w:rPr>
                <w:rFonts w:hint="eastAsia"/>
                <w:lang w:val="en-US" w:eastAsia="zh-CN"/>
              </w:rPr>
              <w:t>确定项目</w:t>
            </w:r>
            <w:r>
              <w:rPr>
                <w:rFonts w:hint="default"/>
              </w:rPr>
              <w:t>采用出水水质稳定，标准高的“A2/O+MBR”短流程主体工艺流程，并采用能耗低、寿命长的先进膜产品。</w:t>
            </w:r>
          </w:p>
          <w:p w14:paraId="2BFC3B0C">
            <w:pPr>
              <w:pStyle w:val="42"/>
              <w:ind w:firstLine="482"/>
              <w:rPr>
                <w:b/>
                <w:bCs/>
              </w:rPr>
            </w:pPr>
            <w:r>
              <w:rPr>
                <w:rFonts w:hint="eastAsia"/>
                <w:b/>
                <w:bCs/>
              </w:rPr>
              <w:t>（</w:t>
            </w:r>
            <w:r>
              <w:rPr>
                <w:rFonts w:hint="eastAsia"/>
                <w:b/>
                <w:bCs/>
                <w:lang w:val="en-US" w:eastAsia="zh-CN"/>
              </w:rPr>
              <w:t>五</w:t>
            </w:r>
            <w:r>
              <w:rPr>
                <w:rFonts w:hint="eastAsia"/>
                <w:b/>
                <w:bCs/>
              </w:rPr>
              <w:t>）</w:t>
            </w:r>
            <w:r>
              <w:rPr>
                <w:b/>
                <w:bCs/>
              </w:rPr>
              <w:t>工程建设内容</w:t>
            </w:r>
          </w:p>
          <w:p w14:paraId="1C6450DA">
            <w:pPr>
              <w:pStyle w:val="42"/>
              <w:ind w:firstLine="480"/>
            </w:pPr>
            <w:r>
              <w:rPr>
                <w:rFonts w:hint="eastAsia"/>
              </w:rPr>
              <w:t>根据建设单位提供资料，本</w:t>
            </w:r>
            <w:r>
              <w:t>项目主要建设内容见</w:t>
            </w:r>
            <w:r>
              <w:fldChar w:fldCharType="begin"/>
            </w:r>
            <w:r>
              <w:instrText xml:space="preserve"> REF _Ref18250 \n \h </w:instrText>
            </w:r>
            <w:r>
              <w:fldChar w:fldCharType="separate"/>
            </w:r>
            <w:r>
              <w:t>表2-10</w:t>
            </w:r>
            <w:r>
              <w:fldChar w:fldCharType="end"/>
            </w:r>
            <w:r>
              <w:t>。</w:t>
            </w:r>
          </w:p>
          <w:p w14:paraId="6E5EFAC1">
            <w:pPr>
              <w:pStyle w:val="52"/>
              <w:bidi w:val="0"/>
            </w:pPr>
            <w:bookmarkStart w:id="18" w:name="_Ref18250"/>
            <w:r>
              <w:rPr>
                <w:rFonts w:hint="eastAsia"/>
              </w:rPr>
              <w:t>本</w:t>
            </w:r>
            <w:r>
              <w:t>项目</w:t>
            </w:r>
            <w:r>
              <w:rPr>
                <w:rFonts w:hint="eastAsia"/>
              </w:rPr>
              <w:t>主要</w:t>
            </w:r>
            <w:r>
              <w:t>建设内容</w:t>
            </w:r>
            <w:bookmarkEnd w:id="18"/>
            <w:r>
              <w:t>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999"/>
              <w:gridCol w:w="1251"/>
              <w:gridCol w:w="5471"/>
              <w:gridCol w:w="841"/>
            </w:tblGrid>
            <w:tr w14:paraId="09515E5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tblHeader/>
                <w:jc w:val="center"/>
              </w:trPr>
              <w:tc>
                <w:tcPr>
                  <w:tcW w:w="999" w:type="dxa"/>
                  <w:noWrap w:val="0"/>
                  <w:vAlign w:val="center"/>
                </w:tcPr>
                <w:p w14:paraId="730F7C57">
                  <w:pPr>
                    <w:pStyle w:val="125"/>
                    <w:ind w:firstLineChars="0"/>
                    <w:rPr>
                      <w:b/>
                      <w:bCs/>
                    </w:rPr>
                  </w:pPr>
                  <w:r>
                    <w:rPr>
                      <w:b/>
                      <w:bCs/>
                    </w:rPr>
                    <w:t>名称</w:t>
                  </w:r>
                </w:p>
              </w:tc>
              <w:tc>
                <w:tcPr>
                  <w:tcW w:w="6722" w:type="dxa"/>
                  <w:gridSpan w:val="2"/>
                  <w:noWrap w:val="0"/>
                  <w:vAlign w:val="center"/>
                </w:tcPr>
                <w:p w14:paraId="3530B0A0">
                  <w:pPr>
                    <w:pStyle w:val="125"/>
                    <w:ind w:firstLineChars="0"/>
                    <w:rPr>
                      <w:b/>
                      <w:bCs/>
                    </w:rPr>
                  </w:pPr>
                  <w:r>
                    <w:rPr>
                      <w:b/>
                      <w:bCs/>
                    </w:rPr>
                    <w:t>建设内容</w:t>
                  </w:r>
                  <w:r>
                    <w:rPr>
                      <w:rFonts w:hint="eastAsia"/>
                      <w:b/>
                      <w:bCs/>
                    </w:rPr>
                    <w:t>及规模</w:t>
                  </w:r>
                </w:p>
              </w:tc>
              <w:tc>
                <w:tcPr>
                  <w:tcW w:w="841" w:type="dxa"/>
                  <w:noWrap w:val="0"/>
                  <w:vAlign w:val="center"/>
                </w:tcPr>
                <w:p w14:paraId="3EB60D14">
                  <w:pPr>
                    <w:pStyle w:val="125"/>
                    <w:ind w:firstLineChars="0"/>
                    <w:rPr>
                      <w:b/>
                      <w:bCs/>
                    </w:rPr>
                  </w:pPr>
                  <w:r>
                    <w:rPr>
                      <w:b/>
                      <w:bCs/>
                    </w:rPr>
                    <w:t>备注</w:t>
                  </w:r>
                </w:p>
              </w:tc>
            </w:tr>
            <w:tr w14:paraId="22DF51F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vMerge w:val="restart"/>
                  <w:noWrap w:val="0"/>
                  <w:vAlign w:val="center"/>
                </w:tcPr>
                <w:p w14:paraId="72321B57">
                  <w:pPr>
                    <w:pStyle w:val="125"/>
                    <w:ind w:firstLineChars="0"/>
                  </w:pPr>
                  <w:r>
                    <w:t>主体工程</w:t>
                  </w:r>
                </w:p>
              </w:tc>
              <w:tc>
                <w:tcPr>
                  <w:tcW w:w="1251" w:type="dxa"/>
                  <w:noWrap w:val="0"/>
                  <w:vAlign w:val="center"/>
                </w:tcPr>
                <w:p w14:paraId="238E0A94">
                  <w:pPr>
                    <w:pStyle w:val="125"/>
                    <w:ind w:firstLineChars="0"/>
                  </w:pPr>
                  <w:r>
                    <w:rPr>
                      <w:rFonts w:hint="eastAsia"/>
                    </w:rPr>
                    <w:t>格栅渠</w:t>
                  </w:r>
                </w:p>
              </w:tc>
              <w:tc>
                <w:tcPr>
                  <w:tcW w:w="5471" w:type="dxa"/>
                  <w:noWrap w:val="0"/>
                  <w:vAlign w:val="center"/>
                </w:tcPr>
                <w:p w14:paraId="3D17E365">
                  <w:pPr>
                    <w:pStyle w:val="125"/>
                    <w:ind w:firstLineChars="0"/>
                  </w:pPr>
                  <w:r>
                    <w:rPr>
                      <w:rFonts w:hint="eastAsia"/>
                    </w:rPr>
                    <w:t>1座，钢砼</w:t>
                  </w:r>
                  <w:r>
                    <w:t>结构</w:t>
                  </w:r>
                  <w:r>
                    <w:rPr>
                      <w:rFonts w:hint="eastAsia"/>
                    </w:rPr>
                    <w:t>，功能：去除污水中较大漂浮物，并拦截直径大于6mm的杂物，以保证潜水泵正常运行</w:t>
                  </w:r>
                </w:p>
              </w:tc>
              <w:tc>
                <w:tcPr>
                  <w:tcW w:w="841" w:type="dxa"/>
                  <w:noWrap w:val="0"/>
                  <w:vAlign w:val="center"/>
                </w:tcPr>
                <w:p w14:paraId="77D390A2">
                  <w:pPr>
                    <w:pStyle w:val="125"/>
                    <w:ind w:firstLineChars="0"/>
                    <w:rPr>
                      <w:rFonts w:hint="eastAsia"/>
                    </w:rPr>
                  </w:pPr>
                  <w:r>
                    <w:rPr>
                      <w:rFonts w:hint="eastAsia"/>
                    </w:rPr>
                    <w:t>新建</w:t>
                  </w:r>
                </w:p>
              </w:tc>
            </w:tr>
            <w:tr w14:paraId="1CEFD0C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vMerge w:val="continue"/>
                  <w:noWrap w:val="0"/>
                  <w:vAlign w:val="center"/>
                </w:tcPr>
                <w:p w14:paraId="46022041">
                  <w:pPr>
                    <w:pStyle w:val="125"/>
                    <w:ind w:firstLineChars="0"/>
                  </w:pPr>
                </w:p>
              </w:tc>
              <w:tc>
                <w:tcPr>
                  <w:tcW w:w="1251" w:type="dxa"/>
                  <w:noWrap w:val="0"/>
                  <w:vAlign w:val="center"/>
                </w:tcPr>
                <w:p w14:paraId="0BA01D67">
                  <w:pPr>
                    <w:pStyle w:val="125"/>
                    <w:ind w:firstLineChars="0"/>
                    <w:rPr>
                      <w:rFonts w:hint="eastAsia"/>
                    </w:rPr>
                  </w:pPr>
                  <w:r>
                    <w:rPr>
                      <w:rFonts w:hint="eastAsia"/>
                    </w:rPr>
                    <w:t>调节池</w:t>
                  </w:r>
                </w:p>
              </w:tc>
              <w:tc>
                <w:tcPr>
                  <w:tcW w:w="5471" w:type="dxa"/>
                  <w:noWrap w:val="0"/>
                  <w:vAlign w:val="center"/>
                </w:tcPr>
                <w:p w14:paraId="6ECD4511">
                  <w:pPr>
                    <w:pStyle w:val="125"/>
                    <w:ind w:firstLineChars="0"/>
                    <w:rPr>
                      <w:rFonts w:hint="eastAsia"/>
                    </w:rPr>
                  </w:pPr>
                  <w:r>
                    <w:rPr>
                      <w:rFonts w:hint="eastAsia"/>
                    </w:rPr>
                    <w:t>1座，地下钢砼结构，进行水质水量调节，保证后续处理进水稳定</w:t>
                  </w:r>
                </w:p>
              </w:tc>
              <w:tc>
                <w:tcPr>
                  <w:tcW w:w="841" w:type="dxa"/>
                  <w:noWrap w:val="0"/>
                  <w:vAlign w:val="center"/>
                </w:tcPr>
                <w:p w14:paraId="0EC2DAB2">
                  <w:pPr>
                    <w:pStyle w:val="125"/>
                    <w:ind w:firstLineChars="0"/>
                    <w:rPr>
                      <w:rFonts w:hint="eastAsia"/>
                    </w:rPr>
                  </w:pPr>
                  <w:r>
                    <w:rPr>
                      <w:rFonts w:hint="eastAsia"/>
                    </w:rPr>
                    <w:t>新建</w:t>
                  </w:r>
                </w:p>
              </w:tc>
            </w:tr>
            <w:tr w14:paraId="5E4C763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vMerge w:val="continue"/>
                  <w:noWrap w:val="0"/>
                  <w:vAlign w:val="center"/>
                </w:tcPr>
                <w:p w14:paraId="6AAE1C52">
                  <w:pPr>
                    <w:pStyle w:val="125"/>
                    <w:ind w:firstLineChars="0"/>
                  </w:pPr>
                </w:p>
              </w:tc>
              <w:tc>
                <w:tcPr>
                  <w:tcW w:w="1251" w:type="dxa"/>
                  <w:noWrap w:val="0"/>
                  <w:vAlign w:val="center"/>
                </w:tcPr>
                <w:p w14:paraId="53B6825D">
                  <w:pPr>
                    <w:pStyle w:val="125"/>
                    <w:ind w:firstLineChars="0"/>
                    <w:rPr>
                      <w:rFonts w:hint="eastAsia"/>
                    </w:rPr>
                  </w:pPr>
                  <w:r>
                    <w:rPr>
                      <w:rFonts w:hint="eastAsia"/>
                    </w:rPr>
                    <w:t>操作室</w:t>
                  </w:r>
                </w:p>
              </w:tc>
              <w:tc>
                <w:tcPr>
                  <w:tcW w:w="5471" w:type="dxa"/>
                  <w:noWrap w:val="0"/>
                  <w:vAlign w:val="center"/>
                </w:tcPr>
                <w:p w14:paraId="34704933">
                  <w:pPr>
                    <w:pStyle w:val="125"/>
                    <w:ind w:firstLineChars="0"/>
                    <w:rPr>
                      <w:rFonts w:hint="eastAsia"/>
                    </w:rPr>
                  </w:pPr>
                  <w:r>
                    <w:rPr>
                      <w:rFonts w:hint="eastAsia"/>
                    </w:rPr>
                    <w:t>1座，砖混结构，</w:t>
                  </w:r>
                  <w:r>
                    <w:t>功能：</w:t>
                  </w:r>
                  <w:r>
                    <w:rPr>
                      <w:rFonts w:hint="eastAsia"/>
                    </w:rPr>
                    <w:t>人员办公及放置PLC和在线监控设备</w:t>
                  </w:r>
                </w:p>
              </w:tc>
              <w:tc>
                <w:tcPr>
                  <w:tcW w:w="841" w:type="dxa"/>
                  <w:noWrap w:val="0"/>
                  <w:vAlign w:val="center"/>
                </w:tcPr>
                <w:p w14:paraId="3CBF33C7">
                  <w:pPr>
                    <w:pStyle w:val="125"/>
                    <w:ind w:firstLineChars="0"/>
                    <w:rPr>
                      <w:rFonts w:hint="eastAsia"/>
                    </w:rPr>
                  </w:pPr>
                  <w:r>
                    <w:rPr>
                      <w:rFonts w:hint="eastAsia"/>
                    </w:rPr>
                    <w:t>新建</w:t>
                  </w:r>
                </w:p>
              </w:tc>
            </w:tr>
            <w:tr w14:paraId="35F2AC8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vMerge w:val="continue"/>
                  <w:noWrap w:val="0"/>
                  <w:vAlign w:val="center"/>
                </w:tcPr>
                <w:p w14:paraId="7122ACDB">
                  <w:pPr>
                    <w:pStyle w:val="125"/>
                    <w:ind w:firstLineChars="0"/>
                  </w:pPr>
                </w:p>
              </w:tc>
              <w:tc>
                <w:tcPr>
                  <w:tcW w:w="1251" w:type="dxa"/>
                  <w:noWrap w:val="0"/>
                  <w:vAlign w:val="center"/>
                </w:tcPr>
                <w:p w14:paraId="749D983D">
                  <w:pPr>
                    <w:pStyle w:val="125"/>
                    <w:ind w:firstLineChars="0"/>
                  </w:pPr>
                  <w:r>
                    <w:t>一体式</w:t>
                  </w:r>
                  <w:r>
                    <w:rPr>
                      <w:rFonts w:hint="eastAsia"/>
                    </w:rPr>
                    <w:t>污水处理设施</w:t>
                  </w:r>
                </w:p>
              </w:tc>
              <w:tc>
                <w:tcPr>
                  <w:tcW w:w="5471" w:type="dxa"/>
                  <w:noWrap w:val="0"/>
                  <w:vAlign w:val="center"/>
                </w:tcPr>
                <w:p w14:paraId="576D15F7">
                  <w:pPr>
                    <w:pStyle w:val="125"/>
                    <w:ind w:firstLineChars="0"/>
                  </w:pPr>
                  <w:r>
                    <w:rPr>
                      <w:rFonts w:hint="eastAsia"/>
                      <w:lang w:val="en-US" w:eastAsia="zh-CN"/>
                    </w:rPr>
                    <w:t>3</w:t>
                  </w:r>
                  <w:r>
                    <w:rPr>
                      <w:rFonts w:hint="eastAsia"/>
                    </w:rPr>
                    <w:t>台，处理能力：</w:t>
                  </w:r>
                  <w:r>
                    <w:rPr>
                      <w:rFonts w:hint="eastAsia"/>
                      <w:lang w:val="en-US" w:eastAsia="zh-CN"/>
                    </w:rPr>
                    <w:t>5</w:t>
                  </w:r>
                  <w:r>
                    <w:rPr>
                      <w:rFonts w:hint="eastAsia"/>
                    </w:rPr>
                    <w:t>00T/d，材质：耐候钢防腐，功能：处理污水，使得污水达标排放</w:t>
                  </w:r>
                </w:p>
              </w:tc>
              <w:tc>
                <w:tcPr>
                  <w:tcW w:w="841" w:type="dxa"/>
                  <w:noWrap w:val="0"/>
                  <w:vAlign w:val="center"/>
                </w:tcPr>
                <w:p w14:paraId="1D240C9B">
                  <w:pPr>
                    <w:pStyle w:val="125"/>
                    <w:ind w:firstLineChars="0"/>
                    <w:rPr>
                      <w:rFonts w:hint="eastAsia"/>
                    </w:rPr>
                  </w:pPr>
                  <w:r>
                    <w:rPr>
                      <w:rFonts w:hint="eastAsia"/>
                    </w:rPr>
                    <w:t>新建</w:t>
                  </w:r>
                </w:p>
              </w:tc>
            </w:tr>
            <w:tr w14:paraId="7AA1ECC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noWrap w:val="0"/>
                  <w:vAlign w:val="center"/>
                </w:tcPr>
                <w:p w14:paraId="2F5C998B">
                  <w:pPr>
                    <w:pStyle w:val="125"/>
                    <w:ind w:firstLineChars="0"/>
                  </w:pPr>
                  <w:r>
                    <w:t>辅助工程</w:t>
                  </w:r>
                </w:p>
              </w:tc>
              <w:tc>
                <w:tcPr>
                  <w:tcW w:w="1251" w:type="dxa"/>
                  <w:noWrap w:val="0"/>
                  <w:vAlign w:val="center"/>
                </w:tcPr>
                <w:p w14:paraId="5F344E3C">
                  <w:pPr>
                    <w:pStyle w:val="125"/>
                    <w:ind w:firstLineChars="0"/>
                  </w:pPr>
                  <w:r>
                    <w:rPr>
                      <w:rFonts w:hint="eastAsia"/>
                    </w:rPr>
                    <w:t>操作室</w:t>
                  </w:r>
                </w:p>
              </w:tc>
              <w:tc>
                <w:tcPr>
                  <w:tcW w:w="5471" w:type="dxa"/>
                  <w:noWrap w:val="0"/>
                  <w:vAlign w:val="center"/>
                </w:tcPr>
                <w:p w14:paraId="2ADA2473">
                  <w:pPr>
                    <w:pStyle w:val="125"/>
                    <w:ind w:firstLineChars="0"/>
                    <w:rPr>
                      <w:rFonts w:hint="eastAsia"/>
                    </w:rPr>
                  </w:pPr>
                  <w:r>
                    <w:rPr>
                      <w:rFonts w:hint="eastAsia"/>
                    </w:rPr>
                    <w:t>1座，砖混结构，</w:t>
                  </w:r>
                  <w:r>
                    <w:t>功能：</w:t>
                  </w:r>
                  <w:r>
                    <w:rPr>
                      <w:rFonts w:hint="eastAsia"/>
                    </w:rPr>
                    <w:t>人员办公及放置PLC和在线监控设备</w:t>
                  </w:r>
                </w:p>
              </w:tc>
              <w:tc>
                <w:tcPr>
                  <w:tcW w:w="841" w:type="dxa"/>
                  <w:noWrap w:val="0"/>
                  <w:vAlign w:val="center"/>
                </w:tcPr>
                <w:p w14:paraId="7D539B37">
                  <w:pPr>
                    <w:pStyle w:val="125"/>
                    <w:ind w:firstLineChars="0"/>
                    <w:rPr>
                      <w:rFonts w:hint="eastAsia"/>
                    </w:rPr>
                  </w:pPr>
                  <w:r>
                    <w:rPr>
                      <w:rFonts w:hint="eastAsia"/>
                    </w:rPr>
                    <w:t>新建</w:t>
                  </w:r>
                </w:p>
              </w:tc>
            </w:tr>
            <w:tr w14:paraId="636DB55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vMerge w:val="restart"/>
                  <w:noWrap w:val="0"/>
                  <w:vAlign w:val="center"/>
                </w:tcPr>
                <w:p w14:paraId="7394A098">
                  <w:pPr>
                    <w:pStyle w:val="125"/>
                    <w:ind w:firstLineChars="0"/>
                  </w:pPr>
                  <w:r>
                    <w:t>公用工程</w:t>
                  </w:r>
                </w:p>
              </w:tc>
              <w:tc>
                <w:tcPr>
                  <w:tcW w:w="1251" w:type="dxa"/>
                  <w:noWrap w:val="0"/>
                  <w:vAlign w:val="center"/>
                </w:tcPr>
                <w:p w14:paraId="691C6972">
                  <w:pPr>
                    <w:pStyle w:val="125"/>
                    <w:ind w:firstLineChars="0"/>
                  </w:pPr>
                  <w:r>
                    <w:t>供电</w:t>
                  </w:r>
                </w:p>
              </w:tc>
              <w:tc>
                <w:tcPr>
                  <w:tcW w:w="5471" w:type="dxa"/>
                  <w:noWrap w:val="0"/>
                  <w:vAlign w:val="center"/>
                </w:tcPr>
                <w:p w14:paraId="6BA9293F">
                  <w:pPr>
                    <w:pStyle w:val="125"/>
                    <w:ind w:firstLineChars="0"/>
                  </w:pPr>
                  <w:r>
                    <w:rPr>
                      <w:rFonts w:hint="eastAsia"/>
                    </w:rPr>
                    <w:t>配电区、</w:t>
                  </w:r>
                  <w:r>
                    <w:t>市政电网供电</w:t>
                  </w:r>
                </w:p>
              </w:tc>
              <w:tc>
                <w:tcPr>
                  <w:tcW w:w="841" w:type="dxa"/>
                  <w:noWrap w:val="0"/>
                  <w:vAlign w:val="center"/>
                </w:tcPr>
                <w:p w14:paraId="630AE805">
                  <w:pPr>
                    <w:pStyle w:val="38"/>
                    <w:bidi w:val="0"/>
                    <w:rPr>
                      <w:rFonts w:hint="eastAsia"/>
                    </w:rPr>
                  </w:pPr>
                  <w:r>
                    <w:rPr>
                      <w:rFonts w:hint="eastAsia"/>
                    </w:rPr>
                    <w:t>新建</w:t>
                  </w:r>
                </w:p>
              </w:tc>
            </w:tr>
            <w:tr w14:paraId="6D3A2D6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vMerge w:val="continue"/>
                  <w:noWrap w:val="0"/>
                  <w:vAlign w:val="center"/>
                </w:tcPr>
                <w:p w14:paraId="7BF52D95">
                  <w:pPr>
                    <w:pStyle w:val="125"/>
                    <w:ind w:firstLineChars="0"/>
                  </w:pPr>
                </w:p>
              </w:tc>
              <w:tc>
                <w:tcPr>
                  <w:tcW w:w="1251" w:type="dxa"/>
                  <w:noWrap w:val="0"/>
                  <w:vAlign w:val="center"/>
                </w:tcPr>
                <w:p w14:paraId="71952562">
                  <w:pPr>
                    <w:pStyle w:val="125"/>
                    <w:ind w:firstLineChars="0"/>
                  </w:pPr>
                  <w:r>
                    <w:t>排水</w:t>
                  </w:r>
                </w:p>
              </w:tc>
              <w:tc>
                <w:tcPr>
                  <w:tcW w:w="5471" w:type="dxa"/>
                  <w:noWrap w:val="0"/>
                  <w:vAlign w:val="center"/>
                </w:tcPr>
                <w:p w14:paraId="64CBA2B8">
                  <w:pPr>
                    <w:pStyle w:val="125"/>
                    <w:ind w:firstLineChars="0"/>
                    <w:rPr>
                      <w:rFonts w:hint="eastAsia" w:eastAsia="宋体"/>
                      <w:lang w:eastAsia="zh-CN"/>
                    </w:rPr>
                  </w:pPr>
                  <w:r>
                    <w:rPr>
                      <w:rFonts w:hint="eastAsia"/>
                      <w:lang w:val="en-US" w:eastAsia="zh-CN"/>
                    </w:rPr>
                    <w:t>生活</w:t>
                  </w:r>
                  <w:r>
                    <w:t>污水进入污水处理系统进行处理满足《城镇污水处理厂污染物排放标准（GB18918-2002）》中一级A标准后排入</w:t>
                  </w:r>
                  <w:r>
                    <w:rPr>
                      <w:rFonts w:hint="eastAsia"/>
                      <w:lang w:eastAsia="zh-CN"/>
                    </w:rPr>
                    <w:t>青塘河</w:t>
                  </w:r>
                </w:p>
              </w:tc>
              <w:tc>
                <w:tcPr>
                  <w:tcW w:w="841" w:type="dxa"/>
                  <w:noWrap w:val="0"/>
                  <w:vAlign w:val="center"/>
                </w:tcPr>
                <w:p w14:paraId="038C3976">
                  <w:pPr>
                    <w:pStyle w:val="38"/>
                    <w:bidi w:val="0"/>
                    <w:rPr>
                      <w:rFonts w:hint="eastAsia"/>
                    </w:rPr>
                  </w:pPr>
                  <w:r>
                    <w:rPr>
                      <w:rFonts w:hint="eastAsia"/>
                    </w:rPr>
                    <w:t>新建</w:t>
                  </w:r>
                </w:p>
              </w:tc>
            </w:tr>
            <w:tr w14:paraId="34CAAF1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vMerge w:val="continue"/>
                  <w:noWrap w:val="0"/>
                  <w:vAlign w:val="center"/>
                </w:tcPr>
                <w:p w14:paraId="0196B0F8">
                  <w:pPr>
                    <w:pStyle w:val="125"/>
                    <w:ind w:firstLineChars="0"/>
                  </w:pPr>
                </w:p>
              </w:tc>
              <w:tc>
                <w:tcPr>
                  <w:tcW w:w="1251" w:type="dxa"/>
                  <w:noWrap w:val="0"/>
                  <w:vAlign w:val="center"/>
                </w:tcPr>
                <w:p w14:paraId="681A4F13">
                  <w:pPr>
                    <w:pStyle w:val="125"/>
                    <w:ind w:firstLineChars="0"/>
                  </w:pPr>
                  <w:r>
                    <w:rPr>
                      <w:rFonts w:hint="eastAsia"/>
                    </w:rPr>
                    <w:t>绿化</w:t>
                  </w:r>
                </w:p>
              </w:tc>
              <w:tc>
                <w:tcPr>
                  <w:tcW w:w="5471" w:type="dxa"/>
                  <w:noWrap w:val="0"/>
                  <w:vAlign w:val="center"/>
                </w:tcPr>
                <w:p w14:paraId="05E99E25">
                  <w:pPr>
                    <w:pStyle w:val="125"/>
                    <w:ind w:firstLineChars="0"/>
                  </w:pPr>
                  <w:r>
                    <w:t>种植树木、草坪</w:t>
                  </w:r>
                </w:p>
              </w:tc>
              <w:tc>
                <w:tcPr>
                  <w:tcW w:w="841" w:type="dxa"/>
                  <w:noWrap w:val="0"/>
                  <w:vAlign w:val="center"/>
                </w:tcPr>
                <w:p w14:paraId="2C44E115">
                  <w:pPr>
                    <w:pStyle w:val="125"/>
                    <w:ind w:firstLineChars="0"/>
                    <w:rPr>
                      <w:rFonts w:hint="eastAsia"/>
                    </w:rPr>
                  </w:pPr>
                  <w:r>
                    <w:rPr>
                      <w:rFonts w:hint="eastAsia"/>
                    </w:rPr>
                    <w:t>新建</w:t>
                  </w:r>
                </w:p>
              </w:tc>
            </w:tr>
            <w:tr w14:paraId="3AFEEE6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vMerge w:val="restart"/>
                  <w:noWrap w:val="0"/>
                  <w:vAlign w:val="center"/>
                </w:tcPr>
                <w:p w14:paraId="05B51AD8">
                  <w:pPr>
                    <w:pStyle w:val="125"/>
                    <w:ind w:firstLineChars="0"/>
                  </w:pPr>
                  <w:r>
                    <w:t>环保工程</w:t>
                  </w:r>
                </w:p>
              </w:tc>
              <w:tc>
                <w:tcPr>
                  <w:tcW w:w="1251" w:type="dxa"/>
                  <w:noWrap w:val="0"/>
                  <w:vAlign w:val="center"/>
                </w:tcPr>
                <w:p w14:paraId="2657D54E">
                  <w:pPr>
                    <w:pStyle w:val="125"/>
                    <w:ind w:firstLineChars="0"/>
                  </w:pPr>
                  <w:r>
                    <w:t>废气</w:t>
                  </w:r>
                </w:p>
              </w:tc>
              <w:tc>
                <w:tcPr>
                  <w:tcW w:w="5471" w:type="dxa"/>
                  <w:noWrap w:val="0"/>
                  <w:vAlign w:val="center"/>
                </w:tcPr>
                <w:p w14:paraId="6150B02C">
                  <w:pPr>
                    <w:pStyle w:val="125"/>
                    <w:ind w:firstLineChars="0"/>
                  </w:pPr>
                  <w:r>
                    <w:rPr>
                      <w:rFonts w:hint="eastAsia"/>
                      <w:lang w:eastAsia="zh-CN"/>
                    </w:rPr>
                    <w:t>UV光氧光解催化</w:t>
                  </w:r>
                  <w:r>
                    <w:rPr>
                      <w:rFonts w:hint="eastAsia"/>
                    </w:rPr>
                    <w:t>、</w:t>
                  </w:r>
                  <w:r>
                    <w:t>排气通风、绿化等</w:t>
                  </w:r>
                </w:p>
              </w:tc>
              <w:tc>
                <w:tcPr>
                  <w:tcW w:w="841" w:type="dxa"/>
                  <w:noWrap w:val="0"/>
                  <w:vAlign w:val="center"/>
                </w:tcPr>
                <w:p w14:paraId="2DFD0D12">
                  <w:pPr>
                    <w:pStyle w:val="125"/>
                    <w:ind w:firstLineChars="0"/>
                    <w:rPr>
                      <w:rFonts w:hint="eastAsia"/>
                    </w:rPr>
                  </w:pPr>
                  <w:r>
                    <w:rPr>
                      <w:rFonts w:hint="eastAsia"/>
                    </w:rPr>
                    <w:t>新建</w:t>
                  </w:r>
                </w:p>
              </w:tc>
            </w:tr>
            <w:tr w14:paraId="692474D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vMerge w:val="continue"/>
                  <w:noWrap w:val="0"/>
                  <w:vAlign w:val="center"/>
                </w:tcPr>
                <w:p w14:paraId="14581E35">
                  <w:pPr>
                    <w:pStyle w:val="125"/>
                    <w:ind w:firstLineChars="0"/>
                  </w:pPr>
                </w:p>
              </w:tc>
              <w:tc>
                <w:tcPr>
                  <w:tcW w:w="1251" w:type="dxa"/>
                  <w:noWrap w:val="0"/>
                  <w:vAlign w:val="center"/>
                </w:tcPr>
                <w:p w14:paraId="1361037D">
                  <w:pPr>
                    <w:pStyle w:val="125"/>
                    <w:ind w:firstLineChars="0"/>
                  </w:pPr>
                  <w:r>
                    <w:t>废水</w:t>
                  </w:r>
                </w:p>
              </w:tc>
              <w:tc>
                <w:tcPr>
                  <w:tcW w:w="5471" w:type="dxa"/>
                  <w:noWrap w:val="0"/>
                  <w:vAlign w:val="center"/>
                </w:tcPr>
                <w:p w14:paraId="69BBC6E3">
                  <w:pPr>
                    <w:pStyle w:val="125"/>
                    <w:ind w:firstLineChars="0"/>
                  </w:pPr>
                  <w:r>
                    <w:t>格栅+调节池+一体化污水处理设备</w:t>
                  </w:r>
                </w:p>
              </w:tc>
              <w:tc>
                <w:tcPr>
                  <w:tcW w:w="841" w:type="dxa"/>
                  <w:noWrap w:val="0"/>
                  <w:vAlign w:val="center"/>
                </w:tcPr>
                <w:p w14:paraId="19CA22D6">
                  <w:pPr>
                    <w:pStyle w:val="125"/>
                    <w:ind w:firstLineChars="0"/>
                    <w:rPr>
                      <w:rFonts w:hint="eastAsia"/>
                    </w:rPr>
                  </w:pPr>
                  <w:r>
                    <w:rPr>
                      <w:rFonts w:hint="eastAsia"/>
                    </w:rPr>
                    <w:t>新建</w:t>
                  </w:r>
                </w:p>
              </w:tc>
            </w:tr>
            <w:tr w14:paraId="4E1FCE9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vMerge w:val="continue"/>
                  <w:noWrap w:val="0"/>
                  <w:vAlign w:val="center"/>
                </w:tcPr>
                <w:p w14:paraId="3C356EE3">
                  <w:pPr>
                    <w:pStyle w:val="125"/>
                    <w:ind w:firstLineChars="0"/>
                  </w:pPr>
                </w:p>
              </w:tc>
              <w:tc>
                <w:tcPr>
                  <w:tcW w:w="1251" w:type="dxa"/>
                  <w:noWrap w:val="0"/>
                  <w:vAlign w:val="center"/>
                </w:tcPr>
                <w:p w14:paraId="4000502E">
                  <w:pPr>
                    <w:pStyle w:val="125"/>
                    <w:ind w:firstLineChars="0"/>
                  </w:pPr>
                  <w:r>
                    <w:t>固体废物</w:t>
                  </w:r>
                </w:p>
              </w:tc>
              <w:tc>
                <w:tcPr>
                  <w:tcW w:w="5471" w:type="dxa"/>
                  <w:noWrap w:val="0"/>
                  <w:vAlign w:val="center"/>
                </w:tcPr>
                <w:p w14:paraId="25385FF8">
                  <w:pPr>
                    <w:pStyle w:val="125"/>
                    <w:ind w:firstLineChars="0"/>
                  </w:pPr>
                  <w:r>
                    <w:rPr>
                      <w:rFonts w:hint="eastAsia"/>
                      <w:lang w:val="en-US" w:eastAsia="zh-CN"/>
                    </w:rPr>
                    <w:t>生活垃圾和栅渣委托环卫部门清运处置，污泥运往污泥处置中心处理</w:t>
                  </w:r>
                </w:p>
              </w:tc>
              <w:tc>
                <w:tcPr>
                  <w:tcW w:w="841" w:type="dxa"/>
                  <w:noWrap w:val="0"/>
                  <w:vAlign w:val="center"/>
                </w:tcPr>
                <w:p w14:paraId="006B6F72">
                  <w:pPr>
                    <w:pStyle w:val="125"/>
                    <w:ind w:firstLineChars="0"/>
                    <w:rPr>
                      <w:rFonts w:hint="eastAsia"/>
                    </w:rPr>
                  </w:pPr>
                  <w:r>
                    <w:rPr>
                      <w:rFonts w:hint="eastAsia"/>
                    </w:rPr>
                    <w:t>新建</w:t>
                  </w:r>
                </w:p>
              </w:tc>
            </w:tr>
            <w:tr w14:paraId="6180610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6" w:hRule="atLeast"/>
                <w:jc w:val="center"/>
              </w:trPr>
              <w:tc>
                <w:tcPr>
                  <w:tcW w:w="999" w:type="dxa"/>
                  <w:vMerge w:val="continue"/>
                  <w:noWrap w:val="0"/>
                  <w:vAlign w:val="center"/>
                </w:tcPr>
                <w:p w14:paraId="7BC8CFDB">
                  <w:pPr>
                    <w:pStyle w:val="125"/>
                    <w:ind w:firstLineChars="0"/>
                  </w:pPr>
                </w:p>
              </w:tc>
              <w:tc>
                <w:tcPr>
                  <w:tcW w:w="1251" w:type="dxa"/>
                  <w:noWrap w:val="0"/>
                  <w:vAlign w:val="center"/>
                </w:tcPr>
                <w:p w14:paraId="56A404AE">
                  <w:pPr>
                    <w:pStyle w:val="125"/>
                    <w:ind w:firstLineChars="0"/>
                  </w:pPr>
                  <w:r>
                    <w:t>噪声</w:t>
                  </w:r>
                </w:p>
              </w:tc>
              <w:tc>
                <w:tcPr>
                  <w:tcW w:w="5471" w:type="dxa"/>
                  <w:noWrap w:val="0"/>
                  <w:vAlign w:val="center"/>
                </w:tcPr>
                <w:p w14:paraId="548141C7">
                  <w:pPr>
                    <w:pStyle w:val="125"/>
                    <w:ind w:firstLineChars="0"/>
                  </w:pPr>
                  <w:r>
                    <w:t>隔声减振等</w:t>
                  </w:r>
                </w:p>
              </w:tc>
              <w:tc>
                <w:tcPr>
                  <w:tcW w:w="841" w:type="dxa"/>
                  <w:noWrap w:val="0"/>
                  <w:vAlign w:val="center"/>
                </w:tcPr>
                <w:p w14:paraId="438E9B3D">
                  <w:pPr>
                    <w:pStyle w:val="125"/>
                    <w:ind w:firstLineChars="0"/>
                    <w:rPr>
                      <w:rFonts w:hint="eastAsia"/>
                    </w:rPr>
                  </w:pPr>
                  <w:r>
                    <w:rPr>
                      <w:rFonts w:hint="eastAsia"/>
                    </w:rPr>
                    <w:t>新建</w:t>
                  </w:r>
                </w:p>
              </w:tc>
            </w:tr>
          </w:tbl>
          <w:p w14:paraId="707565B6">
            <w:pPr>
              <w:pStyle w:val="42"/>
              <w:widowControl/>
              <w:numPr>
                <w:ilvl w:val="255"/>
                <w:numId w:val="0"/>
              </w:numPr>
              <w:overflowPunct w:val="0"/>
              <w:spacing w:before="120" w:beforeLines="50"/>
              <w:ind w:firstLine="482" w:firstLineChars="200"/>
              <w:rPr>
                <w:b/>
                <w:bCs/>
                <w:color w:val="000000" w:themeColor="text1"/>
                <w:kern w:val="0"/>
                <w14:textFill>
                  <w14:solidFill>
                    <w14:schemeClr w14:val="tx1"/>
                  </w14:solidFill>
                </w14:textFill>
              </w:rPr>
            </w:pPr>
            <w:r>
              <w:rPr>
                <w:rFonts w:hint="eastAsia"/>
                <w:b/>
                <w:bCs/>
              </w:rPr>
              <w:t>（</w:t>
            </w:r>
            <w:r>
              <w:rPr>
                <w:rFonts w:hint="eastAsia"/>
                <w:b/>
                <w:bCs/>
                <w:lang w:val="en-US" w:eastAsia="zh-CN"/>
              </w:rPr>
              <w:t>六</w:t>
            </w:r>
            <w:r>
              <w:rPr>
                <w:rFonts w:hint="eastAsia"/>
                <w:b/>
                <w:bCs/>
              </w:rPr>
              <w:t>）项目</w:t>
            </w:r>
            <w:r>
              <w:rPr>
                <w:b/>
                <w:bCs/>
                <w:color w:val="000000" w:themeColor="text1"/>
                <w:kern w:val="0"/>
                <w14:textFill>
                  <w14:solidFill>
                    <w14:schemeClr w14:val="tx1"/>
                  </w14:solidFill>
                </w14:textFill>
              </w:rPr>
              <w:t>主要生产设备</w:t>
            </w:r>
          </w:p>
          <w:p w14:paraId="54D87FAF">
            <w:pPr>
              <w:pStyle w:val="36"/>
              <w:ind w:firstLine="480"/>
              <w:rPr>
                <w:rFonts w:hint="default"/>
              </w:rPr>
            </w:pPr>
            <w:r>
              <w:t>项目主要生产设备情况见下表。</w:t>
            </w:r>
          </w:p>
          <w:p w14:paraId="6492CC90">
            <w:pPr>
              <w:pStyle w:val="52"/>
            </w:pPr>
            <w:r>
              <w:rPr>
                <w:rFonts w:hint="eastAsia"/>
              </w:rPr>
              <w:t>工程设备清单</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2474"/>
              <w:gridCol w:w="1350"/>
              <w:gridCol w:w="1386"/>
              <w:gridCol w:w="2475"/>
            </w:tblGrid>
            <w:tr w14:paraId="75AB3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7" w:type="dxa"/>
                  <w:noWrap w:val="0"/>
                  <w:vAlign w:val="center"/>
                </w:tcPr>
                <w:p w14:paraId="58EE970B">
                  <w:pPr>
                    <w:pStyle w:val="157"/>
                    <w:rPr>
                      <w:b/>
                      <w:bCs/>
                    </w:rPr>
                  </w:pPr>
                  <w:r>
                    <w:rPr>
                      <w:b/>
                      <w:bCs/>
                    </w:rPr>
                    <w:t>序号</w:t>
                  </w:r>
                </w:p>
              </w:tc>
              <w:tc>
                <w:tcPr>
                  <w:tcW w:w="2474" w:type="dxa"/>
                  <w:noWrap w:val="0"/>
                  <w:vAlign w:val="center"/>
                </w:tcPr>
                <w:p w14:paraId="5D01F0E6">
                  <w:pPr>
                    <w:pStyle w:val="157"/>
                    <w:rPr>
                      <w:b/>
                      <w:bCs/>
                    </w:rPr>
                  </w:pPr>
                  <w:r>
                    <w:rPr>
                      <w:b/>
                      <w:bCs/>
                    </w:rPr>
                    <w:t>设备名称</w:t>
                  </w:r>
                </w:p>
              </w:tc>
              <w:tc>
                <w:tcPr>
                  <w:tcW w:w="1350" w:type="dxa"/>
                  <w:noWrap w:val="0"/>
                  <w:vAlign w:val="center"/>
                </w:tcPr>
                <w:p w14:paraId="5BE859CE">
                  <w:pPr>
                    <w:pStyle w:val="157"/>
                    <w:rPr>
                      <w:b/>
                      <w:bCs/>
                    </w:rPr>
                  </w:pPr>
                  <w:r>
                    <w:rPr>
                      <w:b/>
                      <w:bCs/>
                    </w:rPr>
                    <w:t>单位</w:t>
                  </w:r>
                </w:p>
              </w:tc>
              <w:tc>
                <w:tcPr>
                  <w:tcW w:w="1386" w:type="dxa"/>
                  <w:noWrap w:val="0"/>
                  <w:vAlign w:val="center"/>
                </w:tcPr>
                <w:p w14:paraId="586F412C">
                  <w:pPr>
                    <w:pStyle w:val="157"/>
                    <w:rPr>
                      <w:b/>
                      <w:bCs/>
                    </w:rPr>
                  </w:pPr>
                  <w:r>
                    <w:rPr>
                      <w:b/>
                      <w:bCs/>
                    </w:rPr>
                    <w:t>数量</w:t>
                  </w:r>
                </w:p>
              </w:tc>
              <w:tc>
                <w:tcPr>
                  <w:tcW w:w="2475" w:type="dxa"/>
                  <w:noWrap w:val="0"/>
                  <w:vAlign w:val="center"/>
                </w:tcPr>
                <w:p w14:paraId="3E4849E8">
                  <w:pPr>
                    <w:pStyle w:val="157"/>
                    <w:rPr>
                      <w:b/>
                      <w:bCs/>
                    </w:rPr>
                  </w:pPr>
                  <w:r>
                    <w:rPr>
                      <w:b/>
                      <w:bCs/>
                    </w:rPr>
                    <w:t>备注</w:t>
                  </w:r>
                </w:p>
              </w:tc>
            </w:tr>
            <w:tr w14:paraId="2B099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562" w:type="dxa"/>
                  <w:gridSpan w:val="5"/>
                  <w:noWrap w:val="0"/>
                  <w:vAlign w:val="center"/>
                </w:tcPr>
                <w:p w14:paraId="44D6A9D3">
                  <w:pPr>
                    <w:pStyle w:val="157"/>
                    <w:rPr>
                      <w:rFonts w:hint="eastAsia"/>
                    </w:rPr>
                  </w:pPr>
                  <w:r>
                    <w:t>龙回镇圩镇污水处理站</w:t>
                  </w:r>
                </w:p>
              </w:tc>
            </w:tr>
            <w:tr w14:paraId="22CFA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7" w:type="dxa"/>
                  <w:noWrap w:val="0"/>
                  <w:vAlign w:val="center"/>
                </w:tcPr>
                <w:p w14:paraId="0AA44155">
                  <w:pPr>
                    <w:pStyle w:val="157"/>
                    <w:rPr>
                      <w:rFonts w:hint="eastAsia"/>
                    </w:rPr>
                  </w:pPr>
                  <w:r>
                    <w:t>1</w:t>
                  </w:r>
                </w:p>
              </w:tc>
              <w:tc>
                <w:tcPr>
                  <w:tcW w:w="2474" w:type="dxa"/>
                  <w:noWrap w:val="0"/>
                  <w:vAlign w:val="center"/>
                </w:tcPr>
                <w:p w14:paraId="38FCC587">
                  <w:pPr>
                    <w:pStyle w:val="157"/>
                    <w:rPr>
                      <w:rFonts w:hint="eastAsia"/>
                    </w:rPr>
                  </w:pPr>
                  <w:r>
                    <w:rPr>
                      <w:rFonts w:hint="eastAsia"/>
                    </w:rPr>
                    <w:t>一体化设备</w:t>
                  </w:r>
                </w:p>
              </w:tc>
              <w:tc>
                <w:tcPr>
                  <w:tcW w:w="1350" w:type="dxa"/>
                  <w:noWrap w:val="0"/>
                  <w:vAlign w:val="center"/>
                </w:tcPr>
                <w:p w14:paraId="07124833">
                  <w:pPr>
                    <w:pStyle w:val="157"/>
                    <w:rPr>
                      <w:rFonts w:hint="eastAsia"/>
                    </w:rPr>
                  </w:pPr>
                  <w:r>
                    <w:rPr>
                      <w:rFonts w:hint="eastAsia"/>
                    </w:rPr>
                    <w:t>台</w:t>
                  </w:r>
                </w:p>
              </w:tc>
              <w:tc>
                <w:tcPr>
                  <w:tcW w:w="1386" w:type="dxa"/>
                  <w:noWrap w:val="0"/>
                  <w:vAlign w:val="center"/>
                </w:tcPr>
                <w:p w14:paraId="49DE6BA2">
                  <w:pPr>
                    <w:pStyle w:val="157"/>
                    <w:rPr>
                      <w:rFonts w:hint="eastAsia" w:eastAsia="宋体"/>
                      <w:lang w:eastAsia="zh-CN"/>
                    </w:rPr>
                  </w:pPr>
                  <w:r>
                    <w:rPr>
                      <w:rFonts w:hint="eastAsia"/>
                      <w:lang w:val="en-US" w:eastAsia="zh-CN"/>
                    </w:rPr>
                    <w:t>3</w:t>
                  </w:r>
                </w:p>
              </w:tc>
              <w:tc>
                <w:tcPr>
                  <w:tcW w:w="2475" w:type="dxa"/>
                  <w:noWrap w:val="0"/>
                  <w:vAlign w:val="center"/>
                </w:tcPr>
                <w:p w14:paraId="74C00911">
                  <w:pPr>
                    <w:pStyle w:val="157"/>
                    <w:rPr>
                      <w:rFonts w:hint="eastAsia"/>
                    </w:rPr>
                  </w:pPr>
                  <w:r>
                    <w:rPr>
                      <w:rFonts w:hint="eastAsia"/>
                      <w:lang w:val="en-US" w:eastAsia="zh-CN"/>
                    </w:rPr>
                    <w:t>50</w:t>
                  </w:r>
                  <w:r>
                    <w:rPr>
                      <w:rFonts w:hint="eastAsia"/>
                    </w:rPr>
                    <w:t>0T/d</w:t>
                  </w:r>
                </w:p>
              </w:tc>
            </w:tr>
            <w:tr w14:paraId="49EE0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7" w:type="dxa"/>
                  <w:noWrap w:val="0"/>
                  <w:vAlign w:val="center"/>
                </w:tcPr>
                <w:p w14:paraId="10E6D66A">
                  <w:pPr>
                    <w:pStyle w:val="157"/>
                    <w:rPr>
                      <w:rFonts w:hint="eastAsia"/>
                    </w:rPr>
                  </w:pPr>
                  <w:r>
                    <w:t>2</w:t>
                  </w:r>
                </w:p>
              </w:tc>
              <w:tc>
                <w:tcPr>
                  <w:tcW w:w="2474" w:type="dxa"/>
                  <w:noWrap w:val="0"/>
                  <w:vAlign w:val="center"/>
                </w:tcPr>
                <w:p w14:paraId="46005D4F">
                  <w:pPr>
                    <w:pStyle w:val="157"/>
                    <w:rPr>
                      <w:rFonts w:hint="eastAsia"/>
                    </w:rPr>
                  </w:pPr>
                  <w:r>
                    <w:rPr>
                      <w:rFonts w:hint="eastAsia"/>
                    </w:rPr>
                    <w:t>污水提升泵</w:t>
                  </w:r>
                </w:p>
              </w:tc>
              <w:tc>
                <w:tcPr>
                  <w:tcW w:w="1350" w:type="dxa"/>
                  <w:noWrap w:val="0"/>
                  <w:vAlign w:val="center"/>
                </w:tcPr>
                <w:p w14:paraId="1737D775">
                  <w:pPr>
                    <w:pStyle w:val="157"/>
                    <w:rPr>
                      <w:rFonts w:hint="eastAsia"/>
                    </w:rPr>
                  </w:pPr>
                  <w:r>
                    <w:rPr>
                      <w:rFonts w:hint="eastAsia"/>
                    </w:rPr>
                    <w:t>台</w:t>
                  </w:r>
                </w:p>
              </w:tc>
              <w:tc>
                <w:tcPr>
                  <w:tcW w:w="1386" w:type="dxa"/>
                  <w:noWrap w:val="0"/>
                  <w:vAlign w:val="center"/>
                </w:tcPr>
                <w:p w14:paraId="64CA4A94">
                  <w:pPr>
                    <w:pStyle w:val="157"/>
                    <w:rPr>
                      <w:rFonts w:hint="eastAsia"/>
                    </w:rPr>
                  </w:pPr>
                  <w:r>
                    <w:rPr>
                      <w:rFonts w:hint="eastAsia"/>
                    </w:rPr>
                    <w:t>5</w:t>
                  </w:r>
                </w:p>
              </w:tc>
              <w:tc>
                <w:tcPr>
                  <w:tcW w:w="2475" w:type="dxa"/>
                  <w:noWrap w:val="0"/>
                  <w:vAlign w:val="center"/>
                </w:tcPr>
                <w:p w14:paraId="2E8097BF">
                  <w:pPr>
                    <w:pStyle w:val="157"/>
                    <w:rPr>
                      <w:rFonts w:hint="eastAsia"/>
                    </w:rPr>
                  </w:pPr>
                  <w:r>
                    <w:rPr>
                      <w:rFonts w:hint="eastAsia"/>
                    </w:rPr>
                    <w:t>Q=</w:t>
                  </w:r>
                  <w:r>
                    <w:rPr>
                      <w:rFonts w:hint="eastAsia"/>
                      <w:lang w:val="en-US" w:eastAsia="zh-CN"/>
                    </w:rPr>
                    <w:t>8</w:t>
                  </w:r>
                  <w:r>
                    <w:rPr>
                      <w:rFonts w:hint="eastAsia"/>
                    </w:rPr>
                    <w:t>m³/h</w:t>
                  </w:r>
                </w:p>
              </w:tc>
            </w:tr>
            <w:tr w14:paraId="72E76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7" w:type="dxa"/>
                  <w:noWrap w:val="0"/>
                  <w:vAlign w:val="center"/>
                </w:tcPr>
                <w:p w14:paraId="2E1D43F5">
                  <w:pPr>
                    <w:pStyle w:val="157"/>
                    <w:rPr>
                      <w:rFonts w:hint="eastAsia"/>
                    </w:rPr>
                  </w:pPr>
                  <w:r>
                    <w:t>3</w:t>
                  </w:r>
                </w:p>
              </w:tc>
              <w:tc>
                <w:tcPr>
                  <w:tcW w:w="2474" w:type="dxa"/>
                  <w:noWrap w:val="0"/>
                  <w:vAlign w:val="center"/>
                </w:tcPr>
                <w:p w14:paraId="77EE560E">
                  <w:pPr>
                    <w:pStyle w:val="157"/>
                    <w:rPr>
                      <w:rFonts w:hint="eastAsia"/>
                    </w:rPr>
                  </w:pPr>
                  <w:r>
                    <w:rPr>
                      <w:rFonts w:hint="eastAsia"/>
                    </w:rPr>
                    <w:t>加药系统</w:t>
                  </w:r>
                </w:p>
              </w:tc>
              <w:tc>
                <w:tcPr>
                  <w:tcW w:w="1350" w:type="dxa"/>
                  <w:noWrap w:val="0"/>
                  <w:vAlign w:val="center"/>
                </w:tcPr>
                <w:p w14:paraId="66ABF4AA">
                  <w:pPr>
                    <w:pStyle w:val="157"/>
                    <w:rPr>
                      <w:rFonts w:hint="eastAsia"/>
                    </w:rPr>
                  </w:pPr>
                  <w:r>
                    <w:rPr>
                      <w:rFonts w:hint="eastAsia"/>
                    </w:rPr>
                    <w:t>套</w:t>
                  </w:r>
                </w:p>
              </w:tc>
              <w:tc>
                <w:tcPr>
                  <w:tcW w:w="1386" w:type="dxa"/>
                  <w:noWrap w:val="0"/>
                  <w:vAlign w:val="center"/>
                </w:tcPr>
                <w:p w14:paraId="272AC7B6">
                  <w:pPr>
                    <w:pStyle w:val="157"/>
                    <w:rPr>
                      <w:rFonts w:hint="eastAsia"/>
                      <w:lang w:eastAsia="zh-CN"/>
                    </w:rPr>
                  </w:pPr>
                  <w:r>
                    <w:rPr>
                      <w:rFonts w:hint="eastAsia"/>
                      <w:lang w:val="en-US" w:eastAsia="zh-CN"/>
                    </w:rPr>
                    <w:t>2</w:t>
                  </w:r>
                </w:p>
              </w:tc>
              <w:tc>
                <w:tcPr>
                  <w:tcW w:w="2475" w:type="dxa"/>
                  <w:noWrap w:val="0"/>
                  <w:vAlign w:val="center"/>
                </w:tcPr>
                <w:p w14:paraId="5AE329D4">
                  <w:pPr>
                    <w:pStyle w:val="157"/>
                    <w:rPr>
                      <w:rFonts w:hint="eastAsia"/>
                    </w:rPr>
                  </w:pPr>
                </w:p>
              </w:tc>
            </w:tr>
            <w:tr w14:paraId="6F606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7" w:type="dxa"/>
                  <w:noWrap w:val="0"/>
                  <w:vAlign w:val="center"/>
                </w:tcPr>
                <w:p w14:paraId="0237BB86">
                  <w:pPr>
                    <w:pStyle w:val="157"/>
                    <w:rPr>
                      <w:rFonts w:hint="eastAsia"/>
                    </w:rPr>
                  </w:pPr>
                  <w:r>
                    <w:t>4</w:t>
                  </w:r>
                </w:p>
              </w:tc>
              <w:tc>
                <w:tcPr>
                  <w:tcW w:w="2474" w:type="dxa"/>
                  <w:noWrap w:val="0"/>
                  <w:vAlign w:val="center"/>
                </w:tcPr>
                <w:p w14:paraId="3724E35E">
                  <w:pPr>
                    <w:pStyle w:val="157"/>
                    <w:rPr>
                      <w:rFonts w:hint="eastAsia"/>
                    </w:rPr>
                  </w:pPr>
                  <w:r>
                    <w:rPr>
                      <w:rFonts w:hint="eastAsia"/>
                    </w:rPr>
                    <w:t>线路并网架设</w:t>
                  </w:r>
                </w:p>
              </w:tc>
              <w:tc>
                <w:tcPr>
                  <w:tcW w:w="1350" w:type="dxa"/>
                  <w:noWrap w:val="0"/>
                  <w:vAlign w:val="center"/>
                </w:tcPr>
                <w:p w14:paraId="4E3017E8">
                  <w:pPr>
                    <w:pStyle w:val="157"/>
                  </w:pPr>
                  <w:r>
                    <w:rPr>
                      <w:rFonts w:hint="eastAsia"/>
                    </w:rPr>
                    <w:t>项</w:t>
                  </w:r>
                </w:p>
              </w:tc>
              <w:tc>
                <w:tcPr>
                  <w:tcW w:w="1386" w:type="dxa"/>
                  <w:noWrap w:val="0"/>
                  <w:vAlign w:val="center"/>
                </w:tcPr>
                <w:p w14:paraId="37F4911E">
                  <w:pPr>
                    <w:pStyle w:val="157"/>
                    <w:rPr>
                      <w:rFonts w:hint="eastAsia"/>
                      <w:lang w:eastAsia="zh-CN"/>
                    </w:rPr>
                  </w:pPr>
                  <w:r>
                    <w:rPr>
                      <w:rFonts w:hint="eastAsia"/>
                      <w:lang w:val="en-US" w:eastAsia="zh-CN"/>
                    </w:rPr>
                    <w:t>1</w:t>
                  </w:r>
                </w:p>
              </w:tc>
              <w:tc>
                <w:tcPr>
                  <w:tcW w:w="2475" w:type="dxa"/>
                  <w:noWrap w:val="0"/>
                  <w:vAlign w:val="center"/>
                </w:tcPr>
                <w:p w14:paraId="720EE84D">
                  <w:pPr>
                    <w:pStyle w:val="157"/>
                    <w:rPr>
                      <w:rFonts w:hint="eastAsia"/>
                    </w:rPr>
                  </w:pPr>
                </w:p>
              </w:tc>
            </w:tr>
            <w:tr w14:paraId="31C52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7" w:type="dxa"/>
                  <w:noWrap w:val="0"/>
                  <w:vAlign w:val="center"/>
                </w:tcPr>
                <w:p w14:paraId="742FF0B8">
                  <w:pPr>
                    <w:pStyle w:val="157"/>
                    <w:rPr>
                      <w:rFonts w:hint="eastAsia"/>
                    </w:rPr>
                  </w:pPr>
                  <w:r>
                    <w:rPr>
                      <w:rFonts w:hint="eastAsia"/>
                    </w:rPr>
                    <w:t>5</w:t>
                  </w:r>
                </w:p>
              </w:tc>
              <w:tc>
                <w:tcPr>
                  <w:tcW w:w="2474" w:type="dxa"/>
                  <w:noWrap w:val="0"/>
                  <w:vAlign w:val="center"/>
                </w:tcPr>
                <w:p w14:paraId="78548E42">
                  <w:pPr>
                    <w:pStyle w:val="157"/>
                    <w:rPr>
                      <w:rFonts w:hint="eastAsia"/>
                    </w:rPr>
                  </w:pPr>
                  <w:r>
                    <w:rPr>
                      <w:rFonts w:hint="eastAsia"/>
                    </w:rPr>
                    <w:t>监控系统</w:t>
                  </w:r>
                </w:p>
              </w:tc>
              <w:tc>
                <w:tcPr>
                  <w:tcW w:w="1350" w:type="dxa"/>
                  <w:noWrap w:val="0"/>
                  <w:vAlign w:val="center"/>
                </w:tcPr>
                <w:p w14:paraId="231458B9">
                  <w:pPr>
                    <w:pStyle w:val="157"/>
                  </w:pPr>
                  <w:r>
                    <w:rPr>
                      <w:rFonts w:hint="eastAsia"/>
                    </w:rPr>
                    <w:t>套</w:t>
                  </w:r>
                </w:p>
              </w:tc>
              <w:tc>
                <w:tcPr>
                  <w:tcW w:w="1386" w:type="dxa"/>
                  <w:noWrap w:val="0"/>
                  <w:vAlign w:val="center"/>
                </w:tcPr>
                <w:p w14:paraId="22A6591A">
                  <w:pPr>
                    <w:pStyle w:val="157"/>
                    <w:rPr>
                      <w:rFonts w:hint="eastAsia"/>
                      <w:lang w:eastAsia="zh-CN"/>
                    </w:rPr>
                  </w:pPr>
                  <w:r>
                    <w:rPr>
                      <w:rFonts w:hint="eastAsia"/>
                      <w:lang w:val="en-US" w:eastAsia="zh-CN"/>
                    </w:rPr>
                    <w:t>1</w:t>
                  </w:r>
                </w:p>
              </w:tc>
              <w:tc>
                <w:tcPr>
                  <w:tcW w:w="2475" w:type="dxa"/>
                  <w:noWrap w:val="0"/>
                  <w:vAlign w:val="center"/>
                </w:tcPr>
                <w:p w14:paraId="2F105EB2">
                  <w:pPr>
                    <w:pStyle w:val="157"/>
                    <w:rPr>
                      <w:rFonts w:hint="eastAsia"/>
                    </w:rPr>
                  </w:pPr>
                </w:p>
              </w:tc>
            </w:tr>
            <w:tr w14:paraId="00D6C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7" w:type="dxa"/>
                  <w:noWrap w:val="0"/>
                  <w:vAlign w:val="center"/>
                </w:tcPr>
                <w:p w14:paraId="2ECF1E2D">
                  <w:pPr>
                    <w:pStyle w:val="157"/>
                    <w:rPr>
                      <w:rFonts w:hint="eastAsia"/>
                    </w:rPr>
                  </w:pPr>
                  <w:r>
                    <w:rPr>
                      <w:rFonts w:hint="eastAsia"/>
                    </w:rPr>
                    <w:t>6</w:t>
                  </w:r>
                </w:p>
              </w:tc>
              <w:tc>
                <w:tcPr>
                  <w:tcW w:w="2474" w:type="dxa"/>
                  <w:noWrap w:val="0"/>
                  <w:vAlign w:val="center"/>
                </w:tcPr>
                <w:p w14:paraId="00C720F2">
                  <w:pPr>
                    <w:pStyle w:val="157"/>
                    <w:rPr>
                      <w:rFonts w:hint="eastAsia"/>
                    </w:rPr>
                  </w:pPr>
                  <w:r>
                    <w:rPr>
                      <w:rFonts w:hint="eastAsia"/>
                    </w:rPr>
                    <w:t>在线测定仪</w:t>
                  </w:r>
                </w:p>
              </w:tc>
              <w:tc>
                <w:tcPr>
                  <w:tcW w:w="1350" w:type="dxa"/>
                  <w:noWrap w:val="0"/>
                  <w:vAlign w:val="center"/>
                </w:tcPr>
                <w:p w14:paraId="7C3E9563">
                  <w:pPr>
                    <w:pStyle w:val="157"/>
                  </w:pPr>
                  <w:r>
                    <w:rPr>
                      <w:rFonts w:hint="eastAsia"/>
                    </w:rPr>
                    <w:t>套</w:t>
                  </w:r>
                </w:p>
              </w:tc>
              <w:tc>
                <w:tcPr>
                  <w:tcW w:w="1386" w:type="dxa"/>
                  <w:noWrap w:val="0"/>
                  <w:vAlign w:val="center"/>
                </w:tcPr>
                <w:p w14:paraId="3DC9E5E5">
                  <w:pPr>
                    <w:pStyle w:val="157"/>
                    <w:rPr>
                      <w:rFonts w:hint="eastAsia"/>
                      <w:lang w:eastAsia="zh-CN"/>
                    </w:rPr>
                  </w:pPr>
                  <w:r>
                    <w:rPr>
                      <w:rFonts w:hint="eastAsia"/>
                      <w:lang w:val="en-US" w:eastAsia="zh-CN"/>
                    </w:rPr>
                    <w:t>1</w:t>
                  </w:r>
                </w:p>
              </w:tc>
              <w:tc>
                <w:tcPr>
                  <w:tcW w:w="2475" w:type="dxa"/>
                  <w:noWrap w:val="0"/>
                  <w:vAlign w:val="center"/>
                </w:tcPr>
                <w:p w14:paraId="660DF53D">
                  <w:pPr>
                    <w:pStyle w:val="157"/>
                    <w:rPr>
                      <w:rFonts w:hint="eastAsia"/>
                    </w:rPr>
                  </w:pPr>
                </w:p>
              </w:tc>
            </w:tr>
            <w:tr w14:paraId="1DAB5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7" w:type="dxa"/>
                  <w:noWrap w:val="0"/>
                  <w:vAlign w:val="center"/>
                </w:tcPr>
                <w:p w14:paraId="47BBF215">
                  <w:pPr>
                    <w:pStyle w:val="157"/>
                  </w:pPr>
                  <w:r>
                    <w:rPr>
                      <w:rFonts w:hint="eastAsia"/>
                    </w:rPr>
                    <w:t>7</w:t>
                  </w:r>
                </w:p>
              </w:tc>
              <w:tc>
                <w:tcPr>
                  <w:tcW w:w="2474" w:type="dxa"/>
                  <w:noWrap w:val="0"/>
                  <w:vAlign w:val="center"/>
                </w:tcPr>
                <w:p w14:paraId="086B6977">
                  <w:pPr>
                    <w:pStyle w:val="157"/>
                    <w:rPr>
                      <w:rFonts w:hint="eastAsia"/>
                    </w:rPr>
                  </w:pPr>
                  <w:r>
                    <w:rPr>
                      <w:rFonts w:hint="eastAsia"/>
                    </w:rPr>
                    <w:t>便携式气体检测仪</w:t>
                  </w:r>
                </w:p>
              </w:tc>
              <w:tc>
                <w:tcPr>
                  <w:tcW w:w="1350" w:type="dxa"/>
                  <w:noWrap w:val="0"/>
                  <w:vAlign w:val="center"/>
                </w:tcPr>
                <w:p w14:paraId="54CE1683">
                  <w:pPr>
                    <w:pStyle w:val="157"/>
                    <w:rPr>
                      <w:rFonts w:hint="eastAsia"/>
                    </w:rPr>
                  </w:pPr>
                  <w:r>
                    <w:rPr>
                      <w:rFonts w:hint="eastAsia"/>
                    </w:rPr>
                    <w:t>套</w:t>
                  </w:r>
                </w:p>
              </w:tc>
              <w:tc>
                <w:tcPr>
                  <w:tcW w:w="1386" w:type="dxa"/>
                  <w:noWrap w:val="0"/>
                  <w:vAlign w:val="center"/>
                </w:tcPr>
                <w:p w14:paraId="0D698715">
                  <w:pPr>
                    <w:pStyle w:val="157"/>
                    <w:rPr>
                      <w:rFonts w:hint="eastAsia"/>
                      <w:lang w:eastAsia="zh-CN"/>
                    </w:rPr>
                  </w:pPr>
                  <w:r>
                    <w:rPr>
                      <w:rFonts w:hint="eastAsia"/>
                      <w:lang w:val="en-US" w:eastAsia="zh-CN"/>
                    </w:rPr>
                    <w:t>1</w:t>
                  </w:r>
                </w:p>
              </w:tc>
              <w:tc>
                <w:tcPr>
                  <w:tcW w:w="2475" w:type="dxa"/>
                  <w:noWrap w:val="0"/>
                  <w:vAlign w:val="center"/>
                </w:tcPr>
                <w:p w14:paraId="084AB64F">
                  <w:pPr>
                    <w:pStyle w:val="157"/>
                    <w:rPr>
                      <w:rFonts w:hint="eastAsia"/>
                    </w:rPr>
                  </w:pPr>
                </w:p>
              </w:tc>
            </w:tr>
            <w:tr w14:paraId="350FD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7" w:type="dxa"/>
                  <w:noWrap w:val="0"/>
                  <w:vAlign w:val="center"/>
                </w:tcPr>
                <w:p w14:paraId="3A51C31F">
                  <w:pPr>
                    <w:pStyle w:val="157"/>
                    <w:rPr>
                      <w:rFonts w:hint="eastAsia"/>
                    </w:rPr>
                  </w:pPr>
                  <w:r>
                    <w:rPr>
                      <w:rFonts w:hint="eastAsia"/>
                    </w:rPr>
                    <w:t>8</w:t>
                  </w:r>
                </w:p>
              </w:tc>
              <w:tc>
                <w:tcPr>
                  <w:tcW w:w="2474" w:type="dxa"/>
                  <w:noWrap w:val="0"/>
                  <w:vAlign w:val="center"/>
                </w:tcPr>
                <w:p w14:paraId="15A9510A">
                  <w:pPr>
                    <w:pStyle w:val="157"/>
                    <w:rPr>
                      <w:rFonts w:hint="eastAsia"/>
                    </w:rPr>
                  </w:pPr>
                  <w:r>
                    <w:rPr>
                      <w:rFonts w:hint="eastAsia"/>
                    </w:rPr>
                    <w:t>粗细格栅</w:t>
                  </w:r>
                </w:p>
              </w:tc>
              <w:tc>
                <w:tcPr>
                  <w:tcW w:w="1350" w:type="dxa"/>
                  <w:noWrap w:val="0"/>
                  <w:vAlign w:val="center"/>
                </w:tcPr>
                <w:p w14:paraId="686A6006">
                  <w:pPr>
                    <w:pStyle w:val="157"/>
                  </w:pPr>
                  <w:r>
                    <w:rPr>
                      <w:rFonts w:hint="eastAsia"/>
                    </w:rPr>
                    <w:t>套</w:t>
                  </w:r>
                </w:p>
              </w:tc>
              <w:tc>
                <w:tcPr>
                  <w:tcW w:w="1386" w:type="dxa"/>
                  <w:noWrap w:val="0"/>
                  <w:vAlign w:val="center"/>
                </w:tcPr>
                <w:p w14:paraId="47A70AD6">
                  <w:pPr>
                    <w:pStyle w:val="157"/>
                    <w:rPr>
                      <w:rFonts w:hint="eastAsia"/>
                      <w:lang w:eastAsia="zh-CN"/>
                    </w:rPr>
                  </w:pPr>
                  <w:r>
                    <w:rPr>
                      <w:rFonts w:hint="eastAsia"/>
                      <w:lang w:val="en-US" w:eastAsia="zh-CN"/>
                    </w:rPr>
                    <w:t>2</w:t>
                  </w:r>
                </w:p>
              </w:tc>
              <w:tc>
                <w:tcPr>
                  <w:tcW w:w="2475" w:type="dxa"/>
                  <w:noWrap w:val="0"/>
                  <w:vAlign w:val="center"/>
                </w:tcPr>
                <w:p w14:paraId="77FD8EB0">
                  <w:pPr>
                    <w:pStyle w:val="157"/>
                    <w:rPr>
                      <w:rFonts w:hint="eastAsia"/>
                    </w:rPr>
                  </w:pPr>
                </w:p>
              </w:tc>
            </w:tr>
          </w:tbl>
          <w:p w14:paraId="59B23FFA">
            <w:pPr>
              <w:pStyle w:val="36"/>
              <w:spacing w:before="120" w:beforeLines="50"/>
              <w:ind w:firstLine="482"/>
              <w:rPr>
                <w:rFonts w:hint="default"/>
                <w:b/>
                <w:bCs/>
              </w:rPr>
            </w:pPr>
            <w:r>
              <w:rPr>
                <w:rFonts w:hint="default"/>
                <w:b/>
                <w:bCs/>
              </w:rPr>
              <w:t>（</w:t>
            </w:r>
            <w:r>
              <w:rPr>
                <w:rFonts w:hint="eastAsia"/>
                <w:b/>
                <w:bCs/>
                <w:lang w:val="en-US" w:eastAsia="zh-CN"/>
              </w:rPr>
              <w:t>七</w:t>
            </w:r>
            <w:r>
              <w:rPr>
                <w:rFonts w:hint="default"/>
                <w:b/>
                <w:bCs/>
              </w:rPr>
              <w:t>）项目主要原辅材料情况。</w:t>
            </w:r>
          </w:p>
          <w:p w14:paraId="65A185DB">
            <w:pPr>
              <w:pStyle w:val="36"/>
              <w:ind w:firstLine="482"/>
              <w:rPr>
                <w:rFonts w:hint="default"/>
                <w:b/>
                <w:bCs/>
              </w:rPr>
            </w:pPr>
            <w:r>
              <w:rPr>
                <w:b/>
                <w:bCs/>
              </w:rPr>
              <w:t>1、主要原辅料用量</w:t>
            </w:r>
          </w:p>
          <w:p w14:paraId="19DFC96A">
            <w:pPr>
              <w:pStyle w:val="36"/>
              <w:ind w:firstLine="480"/>
              <w:rPr>
                <w:rFonts w:hint="default"/>
              </w:rPr>
            </w:pPr>
            <w:r>
              <w:t>本项目设备均使用电力作为能源，不涉及其他燃料的使用，主要原辅材料用量情况见下表：</w:t>
            </w:r>
          </w:p>
          <w:p w14:paraId="7D75ADC7">
            <w:pPr>
              <w:pStyle w:val="52"/>
            </w:pPr>
            <w:bookmarkStart w:id="19" w:name="_Ref6286"/>
            <w:r>
              <w:t>项目原辅材料及能源消耗一览表</w:t>
            </w:r>
            <w:bookmarkEnd w:id="19"/>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450"/>
              <w:gridCol w:w="1027"/>
              <w:gridCol w:w="1080"/>
              <w:gridCol w:w="1733"/>
              <w:gridCol w:w="1399"/>
              <w:gridCol w:w="1135"/>
            </w:tblGrid>
            <w:tr w14:paraId="6F155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jc w:val="center"/>
              </w:trPr>
              <w:tc>
                <w:tcPr>
                  <w:tcW w:w="738" w:type="dxa"/>
                  <w:noWrap w:val="0"/>
                  <w:vAlign w:val="center"/>
                </w:tcPr>
                <w:p w14:paraId="0471315E">
                  <w:pPr>
                    <w:pStyle w:val="38"/>
                    <w:bidi w:val="0"/>
                    <w:rPr>
                      <w:b/>
                      <w:bCs/>
                    </w:rPr>
                  </w:pPr>
                  <w:r>
                    <w:rPr>
                      <w:b/>
                      <w:bCs/>
                    </w:rPr>
                    <w:t>类型</w:t>
                  </w:r>
                </w:p>
              </w:tc>
              <w:tc>
                <w:tcPr>
                  <w:tcW w:w="1450" w:type="dxa"/>
                  <w:noWrap w:val="0"/>
                  <w:vAlign w:val="center"/>
                </w:tcPr>
                <w:p w14:paraId="6DC54A14">
                  <w:pPr>
                    <w:pStyle w:val="38"/>
                    <w:bidi w:val="0"/>
                    <w:rPr>
                      <w:rFonts w:hint="eastAsia"/>
                      <w:b/>
                      <w:bCs/>
                    </w:rPr>
                  </w:pPr>
                  <w:r>
                    <w:rPr>
                      <w:rFonts w:hint="eastAsia"/>
                      <w:b/>
                      <w:bCs/>
                    </w:rPr>
                    <w:t>名称</w:t>
                  </w:r>
                </w:p>
              </w:tc>
              <w:tc>
                <w:tcPr>
                  <w:tcW w:w="1027" w:type="dxa"/>
                  <w:noWrap w:val="0"/>
                  <w:vAlign w:val="center"/>
                </w:tcPr>
                <w:p w14:paraId="7519173E">
                  <w:pPr>
                    <w:pStyle w:val="38"/>
                    <w:bidi w:val="0"/>
                    <w:rPr>
                      <w:rFonts w:hint="default" w:eastAsia="宋体"/>
                      <w:b/>
                      <w:bCs/>
                      <w:lang w:val="en-US" w:eastAsia="zh-CN"/>
                    </w:rPr>
                  </w:pPr>
                  <w:r>
                    <w:rPr>
                      <w:rFonts w:hint="eastAsia"/>
                      <w:b/>
                      <w:bCs/>
                    </w:rPr>
                    <w:t>消耗量</w:t>
                  </w:r>
                  <w:r>
                    <w:rPr>
                      <w:rFonts w:hint="eastAsia"/>
                      <w:b/>
                      <w:bCs/>
                      <w:lang w:val="en-US" w:eastAsia="zh-CN"/>
                    </w:rPr>
                    <w:t>/年</w:t>
                  </w:r>
                </w:p>
              </w:tc>
              <w:tc>
                <w:tcPr>
                  <w:tcW w:w="1080" w:type="dxa"/>
                  <w:noWrap w:val="0"/>
                  <w:vAlign w:val="center"/>
                </w:tcPr>
                <w:p w14:paraId="6BAFB08D">
                  <w:pPr>
                    <w:pStyle w:val="38"/>
                    <w:bidi w:val="0"/>
                    <w:rPr>
                      <w:rFonts w:hint="eastAsia"/>
                      <w:b/>
                      <w:bCs/>
                    </w:rPr>
                  </w:pPr>
                  <w:r>
                    <w:rPr>
                      <w:rFonts w:hint="eastAsia"/>
                      <w:b/>
                      <w:bCs/>
                    </w:rPr>
                    <w:t>单位</w:t>
                  </w:r>
                </w:p>
              </w:tc>
              <w:tc>
                <w:tcPr>
                  <w:tcW w:w="1733" w:type="dxa"/>
                  <w:noWrap w:val="0"/>
                  <w:vAlign w:val="center"/>
                </w:tcPr>
                <w:p w14:paraId="7D3EA30B">
                  <w:pPr>
                    <w:pStyle w:val="38"/>
                    <w:bidi w:val="0"/>
                    <w:rPr>
                      <w:rFonts w:hint="eastAsia"/>
                      <w:b/>
                      <w:bCs/>
                    </w:rPr>
                  </w:pPr>
                  <w:r>
                    <w:rPr>
                      <w:rFonts w:hint="eastAsia"/>
                      <w:b/>
                      <w:bCs/>
                    </w:rPr>
                    <w:t>储存方式</w:t>
                  </w:r>
                </w:p>
              </w:tc>
              <w:tc>
                <w:tcPr>
                  <w:tcW w:w="1399" w:type="dxa"/>
                  <w:noWrap w:val="0"/>
                  <w:vAlign w:val="center"/>
                </w:tcPr>
                <w:p w14:paraId="77236642">
                  <w:pPr>
                    <w:pStyle w:val="38"/>
                    <w:bidi w:val="0"/>
                    <w:rPr>
                      <w:rFonts w:hint="eastAsia" w:eastAsia="宋体"/>
                      <w:b/>
                      <w:bCs/>
                      <w:lang w:eastAsia="zh-CN"/>
                    </w:rPr>
                  </w:pPr>
                  <w:r>
                    <w:rPr>
                      <w:rFonts w:hint="eastAsia"/>
                      <w:b/>
                      <w:bCs/>
                    </w:rPr>
                    <w:t>最大储存量</w:t>
                  </w:r>
                </w:p>
              </w:tc>
              <w:tc>
                <w:tcPr>
                  <w:tcW w:w="1135" w:type="dxa"/>
                  <w:noWrap w:val="0"/>
                  <w:vAlign w:val="center"/>
                </w:tcPr>
                <w:p w14:paraId="013865CA">
                  <w:pPr>
                    <w:pStyle w:val="38"/>
                    <w:bidi w:val="0"/>
                    <w:rPr>
                      <w:b/>
                      <w:bCs/>
                    </w:rPr>
                  </w:pPr>
                  <w:r>
                    <w:rPr>
                      <w:b/>
                      <w:bCs/>
                    </w:rPr>
                    <w:t>备注</w:t>
                  </w:r>
                </w:p>
              </w:tc>
            </w:tr>
            <w:tr w14:paraId="614CB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8" w:type="dxa"/>
                  <w:vMerge w:val="restart"/>
                  <w:noWrap w:val="0"/>
                  <w:vAlign w:val="center"/>
                </w:tcPr>
                <w:p w14:paraId="5504E0E1">
                  <w:pPr>
                    <w:pStyle w:val="38"/>
                    <w:bidi w:val="0"/>
                  </w:pPr>
                  <w:r>
                    <w:t>原辅材料</w:t>
                  </w:r>
                </w:p>
              </w:tc>
              <w:tc>
                <w:tcPr>
                  <w:tcW w:w="1450" w:type="dxa"/>
                  <w:noWrap w:val="0"/>
                  <w:vAlign w:val="center"/>
                </w:tcPr>
                <w:p w14:paraId="2548F526">
                  <w:pPr>
                    <w:pStyle w:val="38"/>
                    <w:bidi w:val="0"/>
                    <w:rPr>
                      <w:rFonts w:hint="eastAsia"/>
                    </w:rPr>
                  </w:pPr>
                  <w:r>
                    <w:rPr>
                      <w:rFonts w:hint="eastAsia"/>
                    </w:rPr>
                    <w:t>次氯酸钠</w:t>
                  </w:r>
                </w:p>
              </w:tc>
              <w:tc>
                <w:tcPr>
                  <w:tcW w:w="1027" w:type="dxa"/>
                  <w:noWrap w:val="0"/>
                  <w:vAlign w:val="center"/>
                </w:tcPr>
                <w:p w14:paraId="1FCDD359">
                  <w:pPr>
                    <w:pStyle w:val="38"/>
                    <w:bidi w:val="0"/>
                    <w:rPr>
                      <w:rFonts w:hint="default" w:eastAsia="宋体"/>
                      <w:lang w:val="en-US" w:eastAsia="zh-CN"/>
                    </w:rPr>
                  </w:pPr>
                  <w:r>
                    <w:rPr>
                      <w:rFonts w:hint="eastAsia"/>
                      <w:lang w:val="en-US" w:eastAsia="zh-CN"/>
                    </w:rPr>
                    <w:t>90</w:t>
                  </w:r>
                </w:p>
              </w:tc>
              <w:tc>
                <w:tcPr>
                  <w:tcW w:w="1080" w:type="dxa"/>
                  <w:noWrap w:val="0"/>
                  <w:vAlign w:val="center"/>
                </w:tcPr>
                <w:p w14:paraId="5F373F9F">
                  <w:pPr>
                    <w:pStyle w:val="38"/>
                    <w:bidi w:val="0"/>
                    <w:rPr>
                      <w:rFonts w:hint="eastAsia"/>
                    </w:rPr>
                  </w:pPr>
                  <w:r>
                    <w:rPr>
                      <w:rFonts w:hint="eastAsia"/>
                      <w:lang w:val="en-US" w:eastAsia="zh-CN"/>
                    </w:rPr>
                    <w:t>k</w:t>
                  </w:r>
                  <w:r>
                    <w:rPr>
                      <w:rFonts w:hint="eastAsia"/>
                    </w:rPr>
                    <w:t>g</w:t>
                  </w:r>
                </w:p>
              </w:tc>
              <w:tc>
                <w:tcPr>
                  <w:tcW w:w="1733" w:type="dxa"/>
                  <w:noWrap w:val="0"/>
                  <w:vAlign w:val="center"/>
                </w:tcPr>
                <w:p w14:paraId="64B0247F">
                  <w:pPr>
                    <w:pStyle w:val="38"/>
                    <w:bidi w:val="0"/>
                    <w:rPr>
                      <w:rFonts w:hint="eastAsia"/>
                    </w:rPr>
                  </w:pPr>
                  <w:r>
                    <w:rPr>
                      <w:rFonts w:hint="eastAsia"/>
                    </w:rPr>
                    <w:t>袋装储存于仓库</w:t>
                  </w:r>
                </w:p>
              </w:tc>
              <w:tc>
                <w:tcPr>
                  <w:tcW w:w="1399" w:type="dxa"/>
                  <w:noWrap w:val="0"/>
                  <w:vAlign w:val="center"/>
                </w:tcPr>
                <w:p w14:paraId="7E6BEEDA">
                  <w:pPr>
                    <w:pStyle w:val="38"/>
                    <w:bidi w:val="0"/>
                  </w:pPr>
                  <w:r>
                    <w:rPr>
                      <w:rFonts w:hint="eastAsia"/>
                    </w:rPr>
                    <w:t>10</w:t>
                  </w:r>
                </w:p>
              </w:tc>
              <w:tc>
                <w:tcPr>
                  <w:tcW w:w="1135" w:type="dxa"/>
                  <w:noWrap w:val="0"/>
                  <w:vAlign w:val="center"/>
                </w:tcPr>
                <w:p w14:paraId="09800CDD">
                  <w:pPr>
                    <w:pStyle w:val="38"/>
                    <w:bidi w:val="0"/>
                  </w:pPr>
                  <w:r>
                    <w:t>外购</w:t>
                  </w:r>
                </w:p>
              </w:tc>
            </w:tr>
            <w:tr w14:paraId="7CCD1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8" w:type="dxa"/>
                  <w:vMerge w:val="continue"/>
                  <w:noWrap w:val="0"/>
                  <w:vAlign w:val="center"/>
                </w:tcPr>
                <w:p w14:paraId="022D1AAA">
                  <w:pPr>
                    <w:pStyle w:val="38"/>
                    <w:bidi w:val="0"/>
                  </w:pPr>
                </w:p>
              </w:tc>
              <w:tc>
                <w:tcPr>
                  <w:tcW w:w="1450" w:type="dxa"/>
                  <w:noWrap w:val="0"/>
                  <w:vAlign w:val="center"/>
                </w:tcPr>
                <w:p w14:paraId="66A3702D">
                  <w:pPr>
                    <w:pStyle w:val="38"/>
                    <w:bidi w:val="0"/>
                    <w:rPr>
                      <w:rFonts w:hint="eastAsia"/>
                    </w:rPr>
                  </w:pPr>
                  <w:r>
                    <w:rPr>
                      <w:rFonts w:hint="eastAsia"/>
                      <w:lang w:val="en-US" w:eastAsia="zh-CN"/>
                    </w:rPr>
                    <w:t>聚合化铝（PAC）</w:t>
                  </w:r>
                </w:p>
              </w:tc>
              <w:tc>
                <w:tcPr>
                  <w:tcW w:w="1027" w:type="dxa"/>
                  <w:noWrap w:val="0"/>
                  <w:vAlign w:val="center"/>
                </w:tcPr>
                <w:p w14:paraId="207DBF6B">
                  <w:pPr>
                    <w:pStyle w:val="38"/>
                    <w:bidi w:val="0"/>
                    <w:rPr>
                      <w:rFonts w:hint="default"/>
                      <w:lang w:val="en-US" w:eastAsia="zh-CN"/>
                    </w:rPr>
                  </w:pPr>
                  <w:r>
                    <w:rPr>
                      <w:rFonts w:hint="eastAsia"/>
                      <w:lang w:val="en-US" w:eastAsia="zh-CN"/>
                    </w:rPr>
                    <w:t>50</w:t>
                  </w:r>
                </w:p>
              </w:tc>
              <w:tc>
                <w:tcPr>
                  <w:tcW w:w="1080" w:type="dxa"/>
                  <w:noWrap w:val="0"/>
                  <w:vAlign w:val="center"/>
                </w:tcPr>
                <w:p w14:paraId="282E9004">
                  <w:pPr>
                    <w:pStyle w:val="38"/>
                    <w:bidi w:val="0"/>
                    <w:rPr>
                      <w:rFonts w:hint="eastAsia"/>
                    </w:rPr>
                  </w:pPr>
                  <w:r>
                    <w:rPr>
                      <w:rFonts w:hint="eastAsia"/>
                      <w:lang w:val="en-US" w:eastAsia="zh-CN"/>
                    </w:rPr>
                    <w:t>t</w:t>
                  </w:r>
                </w:p>
              </w:tc>
              <w:tc>
                <w:tcPr>
                  <w:tcW w:w="1733" w:type="dxa"/>
                  <w:noWrap w:val="0"/>
                  <w:vAlign w:val="center"/>
                </w:tcPr>
                <w:p w14:paraId="7F23B9A2">
                  <w:pPr>
                    <w:pStyle w:val="38"/>
                    <w:bidi w:val="0"/>
                    <w:rPr>
                      <w:rFonts w:hint="eastAsia"/>
                    </w:rPr>
                  </w:pPr>
                  <w:r>
                    <w:rPr>
                      <w:rFonts w:hint="eastAsia"/>
                    </w:rPr>
                    <w:t>袋装储存于仓库</w:t>
                  </w:r>
                </w:p>
              </w:tc>
              <w:tc>
                <w:tcPr>
                  <w:tcW w:w="1399" w:type="dxa"/>
                  <w:noWrap w:val="0"/>
                  <w:vAlign w:val="center"/>
                </w:tcPr>
                <w:p w14:paraId="71987DA8">
                  <w:pPr>
                    <w:pStyle w:val="38"/>
                    <w:bidi w:val="0"/>
                    <w:rPr>
                      <w:rFonts w:hint="eastAsia"/>
                    </w:rPr>
                  </w:pPr>
                  <w:r>
                    <w:rPr>
                      <w:rFonts w:hint="eastAsia"/>
                      <w:lang w:val="en-US" w:eastAsia="zh-CN"/>
                    </w:rPr>
                    <w:t>5</w:t>
                  </w:r>
                </w:p>
              </w:tc>
              <w:tc>
                <w:tcPr>
                  <w:tcW w:w="1135" w:type="dxa"/>
                  <w:noWrap w:val="0"/>
                  <w:vAlign w:val="center"/>
                </w:tcPr>
                <w:p w14:paraId="686FD8A4">
                  <w:pPr>
                    <w:pStyle w:val="38"/>
                    <w:bidi w:val="0"/>
                  </w:pPr>
                  <w:r>
                    <w:t>外购</w:t>
                  </w:r>
                </w:p>
              </w:tc>
            </w:tr>
            <w:tr w14:paraId="2688E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8" w:type="dxa"/>
                  <w:vMerge w:val="continue"/>
                  <w:noWrap w:val="0"/>
                  <w:vAlign w:val="center"/>
                </w:tcPr>
                <w:p w14:paraId="4218E1CA">
                  <w:pPr>
                    <w:pStyle w:val="38"/>
                    <w:bidi w:val="0"/>
                  </w:pPr>
                </w:p>
              </w:tc>
              <w:tc>
                <w:tcPr>
                  <w:tcW w:w="1450" w:type="dxa"/>
                  <w:noWrap w:val="0"/>
                  <w:vAlign w:val="center"/>
                </w:tcPr>
                <w:p w14:paraId="69B9F5CC">
                  <w:pPr>
                    <w:pStyle w:val="38"/>
                    <w:bidi w:val="0"/>
                    <w:rPr>
                      <w:rFonts w:hint="eastAsia"/>
                    </w:rPr>
                  </w:pPr>
                  <w:r>
                    <w:rPr>
                      <w:rFonts w:hint="eastAsia"/>
                      <w:lang w:val="en-US" w:eastAsia="zh-CN"/>
                    </w:rPr>
                    <w:t>聚丙烯酰胺（PAM）</w:t>
                  </w:r>
                </w:p>
              </w:tc>
              <w:tc>
                <w:tcPr>
                  <w:tcW w:w="1027" w:type="dxa"/>
                  <w:noWrap w:val="0"/>
                  <w:vAlign w:val="center"/>
                </w:tcPr>
                <w:p w14:paraId="66C64C1E">
                  <w:pPr>
                    <w:pStyle w:val="38"/>
                    <w:bidi w:val="0"/>
                    <w:rPr>
                      <w:rFonts w:hint="default"/>
                      <w:lang w:val="en-US" w:eastAsia="zh-CN"/>
                    </w:rPr>
                  </w:pPr>
                  <w:r>
                    <w:rPr>
                      <w:rFonts w:hint="eastAsia"/>
                      <w:lang w:val="en-US" w:eastAsia="zh-CN"/>
                    </w:rPr>
                    <w:t>2</w:t>
                  </w:r>
                </w:p>
              </w:tc>
              <w:tc>
                <w:tcPr>
                  <w:tcW w:w="1080" w:type="dxa"/>
                  <w:noWrap w:val="0"/>
                  <w:vAlign w:val="center"/>
                </w:tcPr>
                <w:p w14:paraId="02F1618B">
                  <w:pPr>
                    <w:pStyle w:val="38"/>
                    <w:bidi w:val="0"/>
                    <w:rPr>
                      <w:rFonts w:hint="eastAsia"/>
                    </w:rPr>
                  </w:pPr>
                  <w:r>
                    <w:rPr>
                      <w:rFonts w:hint="eastAsia"/>
                      <w:lang w:val="en-US" w:eastAsia="zh-CN"/>
                    </w:rPr>
                    <w:t>t</w:t>
                  </w:r>
                </w:p>
              </w:tc>
              <w:tc>
                <w:tcPr>
                  <w:tcW w:w="1733" w:type="dxa"/>
                  <w:noWrap w:val="0"/>
                  <w:vAlign w:val="center"/>
                </w:tcPr>
                <w:p w14:paraId="6A2B566C">
                  <w:pPr>
                    <w:pStyle w:val="38"/>
                    <w:bidi w:val="0"/>
                    <w:rPr>
                      <w:rFonts w:hint="eastAsia"/>
                    </w:rPr>
                  </w:pPr>
                  <w:r>
                    <w:rPr>
                      <w:rFonts w:hint="eastAsia"/>
                    </w:rPr>
                    <w:t>袋装储存于仓库</w:t>
                  </w:r>
                </w:p>
              </w:tc>
              <w:tc>
                <w:tcPr>
                  <w:tcW w:w="1399" w:type="dxa"/>
                  <w:noWrap w:val="0"/>
                  <w:vAlign w:val="center"/>
                </w:tcPr>
                <w:p w14:paraId="1B98FDBC">
                  <w:pPr>
                    <w:pStyle w:val="38"/>
                    <w:bidi w:val="0"/>
                    <w:rPr>
                      <w:rFonts w:hint="default"/>
                      <w:lang w:val="en-US"/>
                    </w:rPr>
                  </w:pPr>
                  <w:r>
                    <w:rPr>
                      <w:rFonts w:hint="eastAsia"/>
                      <w:lang w:val="en-US" w:eastAsia="zh-CN"/>
                    </w:rPr>
                    <w:t>0.5</w:t>
                  </w:r>
                </w:p>
              </w:tc>
              <w:tc>
                <w:tcPr>
                  <w:tcW w:w="1135" w:type="dxa"/>
                  <w:noWrap w:val="0"/>
                  <w:vAlign w:val="center"/>
                </w:tcPr>
                <w:p w14:paraId="219594C8">
                  <w:pPr>
                    <w:pStyle w:val="38"/>
                    <w:bidi w:val="0"/>
                  </w:pPr>
                  <w:r>
                    <w:t>外购</w:t>
                  </w:r>
                </w:p>
              </w:tc>
            </w:tr>
            <w:tr w14:paraId="787F0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8" w:type="dxa"/>
                  <w:noWrap w:val="0"/>
                  <w:vAlign w:val="center"/>
                </w:tcPr>
                <w:p w14:paraId="1596B9E7">
                  <w:pPr>
                    <w:pStyle w:val="38"/>
                    <w:bidi w:val="0"/>
                  </w:pPr>
                  <w:r>
                    <w:t>能耗</w:t>
                  </w:r>
                </w:p>
              </w:tc>
              <w:tc>
                <w:tcPr>
                  <w:tcW w:w="1450" w:type="dxa"/>
                  <w:noWrap w:val="0"/>
                  <w:vAlign w:val="center"/>
                </w:tcPr>
                <w:p w14:paraId="619A102C">
                  <w:pPr>
                    <w:pStyle w:val="38"/>
                    <w:bidi w:val="0"/>
                    <w:rPr>
                      <w:rFonts w:hint="eastAsia"/>
                    </w:rPr>
                  </w:pPr>
                  <w:r>
                    <w:t>电</w:t>
                  </w:r>
                </w:p>
              </w:tc>
              <w:tc>
                <w:tcPr>
                  <w:tcW w:w="1027" w:type="dxa"/>
                  <w:noWrap w:val="0"/>
                  <w:vAlign w:val="center"/>
                </w:tcPr>
                <w:p w14:paraId="1CB44E18">
                  <w:pPr>
                    <w:pStyle w:val="38"/>
                    <w:bidi w:val="0"/>
                    <w:rPr>
                      <w:rFonts w:hint="default" w:eastAsia="宋体"/>
                      <w:lang w:val="en-US" w:eastAsia="zh-CN"/>
                    </w:rPr>
                  </w:pPr>
                  <w:r>
                    <w:rPr>
                      <w:rFonts w:hint="eastAsia"/>
                      <w:lang w:val="en-US" w:eastAsia="zh-CN"/>
                    </w:rPr>
                    <w:t>26</w:t>
                  </w:r>
                </w:p>
              </w:tc>
              <w:tc>
                <w:tcPr>
                  <w:tcW w:w="1080" w:type="dxa"/>
                  <w:noWrap w:val="0"/>
                  <w:vAlign w:val="center"/>
                </w:tcPr>
                <w:p w14:paraId="7158EA1D">
                  <w:pPr>
                    <w:pStyle w:val="38"/>
                    <w:bidi w:val="0"/>
                    <w:rPr>
                      <w:rFonts w:hint="eastAsia"/>
                    </w:rPr>
                  </w:pPr>
                  <w:r>
                    <w:rPr>
                      <w:rFonts w:hint="eastAsia"/>
                    </w:rPr>
                    <w:t>万度</w:t>
                  </w:r>
                </w:p>
              </w:tc>
              <w:tc>
                <w:tcPr>
                  <w:tcW w:w="4267" w:type="dxa"/>
                  <w:gridSpan w:val="3"/>
                  <w:noWrap w:val="0"/>
                  <w:vAlign w:val="center"/>
                </w:tcPr>
                <w:p w14:paraId="2204F8BC">
                  <w:pPr>
                    <w:pStyle w:val="38"/>
                    <w:bidi w:val="0"/>
                  </w:pPr>
                  <w:r>
                    <w:t>接入市政电网</w:t>
                  </w:r>
                </w:p>
              </w:tc>
            </w:tr>
          </w:tbl>
          <w:p w14:paraId="77A5BE73">
            <w:pPr>
              <w:pStyle w:val="24"/>
              <w:widowControl w:val="0"/>
              <w:overflowPunct w:val="0"/>
              <w:spacing w:before="0" w:beforeAutospacing="0" w:after="0" w:afterAutospacing="0" w:line="360" w:lineRule="auto"/>
              <w:ind w:firstLine="482" w:firstLineChars="200"/>
              <w:jc w:val="both"/>
              <w:rPr>
                <w:rFonts w:ascii="Times New Roman" w:hAnsi="Times New Roman"/>
                <w:b/>
                <w:color w:val="000000" w:themeColor="text1"/>
                <w:szCs w:val="24"/>
                <w14:textFill>
                  <w14:solidFill>
                    <w14:schemeClr w14:val="tx1"/>
                  </w14:solidFill>
                </w14:textFill>
              </w:rPr>
            </w:pPr>
            <w:r>
              <w:rPr>
                <w:rFonts w:ascii="Times New Roman" w:hAnsi="Times New Roman"/>
                <w:b/>
                <w:color w:val="000000" w:themeColor="text1"/>
                <w:kern w:val="2"/>
                <w:szCs w:val="24"/>
                <w:lang w:bidi="ar"/>
                <w14:textFill>
                  <w14:solidFill>
                    <w14:schemeClr w14:val="tx1"/>
                  </w14:solidFill>
                </w14:textFill>
              </w:rPr>
              <w:t>主要原辅材料理化性质简述如下：</w:t>
            </w:r>
          </w:p>
          <w:p w14:paraId="709A91E2">
            <w:pPr>
              <w:pStyle w:val="36"/>
              <w:ind w:firstLine="480"/>
              <w:rPr>
                <w:rFonts w:hint="default"/>
                <w:lang w:val="zh-CN"/>
              </w:rPr>
            </w:pPr>
            <w:r>
              <w:rPr>
                <w:lang w:val="zh-CN"/>
              </w:rPr>
              <w:t>次氯酸钠：化学式NaClO，是钠的次氯酸盐。将氯气通入混有碳酸钙粉末的水中，次氯酸则积集在溶液中，蒸馏反应混合物，可以收集到稀次氯酸溶液。本品还是强氧化剂，用作漂白剂、氧化剂及水净化剂，具腐蚀性，用于造纸、纺织、轻工业、水净化等，具有漂白、杀菌、消毒的作用。</w:t>
            </w:r>
          </w:p>
          <w:p w14:paraId="28A8E680">
            <w:pPr>
              <w:pStyle w:val="36"/>
              <w:ind w:firstLine="480"/>
              <w:rPr>
                <w:rFonts w:hint="default"/>
                <w:lang w:val="zh-CN"/>
              </w:rPr>
            </w:pPr>
            <w:r>
              <w:rPr>
                <w:rFonts w:hint="default"/>
                <w:lang w:val="zh-CN"/>
              </w:rPr>
              <w:t>PAM：即聚丙烯酰胺，分子式C</w:t>
            </w:r>
            <w:r>
              <w:rPr>
                <w:rFonts w:hint="default"/>
                <w:vertAlign w:val="subscript"/>
                <w:lang w:val="zh-CN"/>
              </w:rPr>
              <w:t>3</w:t>
            </w:r>
            <w:r>
              <w:rPr>
                <w:rFonts w:hint="default"/>
                <w:lang w:val="zh-CN"/>
              </w:rPr>
              <w:t>H</w:t>
            </w:r>
            <w:r>
              <w:rPr>
                <w:rFonts w:hint="default"/>
                <w:vertAlign w:val="subscript"/>
                <w:lang w:val="zh-CN"/>
              </w:rPr>
              <w:t>3</w:t>
            </w:r>
            <w:r>
              <w:rPr>
                <w:rFonts w:hint="default"/>
                <w:lang w:val="zh-CN"/>
              </w:rPr>
              <w:t>NO，是国内常用的非离子型高分子絮凝剂，具有在颗粒间形成更大的絮体由此产生的巨大表面吸附作用。密度1.3g/c</w:t>
            </w:r>
            <w:r>
              <w:t>m</w:t>
            </w:r>
            <w:r>
              <w:rPr>
                <w:vertAlign w:val="superscript"/>
              </w:rPr>
              <w:t>3</w:t>
            </w:r>
            <w:r>
              <w:rPr>
                <w:rFonts w:hint="default"/>
                <w:lang w:val="zh-CN"/>
              </w:rPr>
              <w:t>，在50-60℃下溶于水，水解度为5%-35%，也溶于乙酸、丙酸、氯代乙酸、乙二醇、甘油和胺等有机溶剂。本项目用于污泥机械脱水时投加，便于污泥脱水干化。</w:t>
            </w:r>
          </w:p>
          <w:p w14:paraId="51CB14A6">
            <w:pPr>
              <w:pStyle w:val="36"/>
              <w:ind w:firstLine="480"/>
              <w:rPr>
                <w:rFonts w:hint="default"/>
              </w:rPr>
            </w:pPr>
            <w:r>
              <w:rPr>
                <w:rFonts w:hint="default"/>
                <w:lang w:val="zh-CN"/>
              </w:rPr>
              <w:t>PAC：一种</w:t>
            </w:r>
            <w:r>
              <w:rPr>
                <w:lang w:val="zh-CN"/>
              </w:rPr>
              <w:t>新型</w:t>
            </w:r>
            <w:r>
              <w:rPr>
                <w:rFonts w:hint="default"/>
                <w:lang w:val="zh-CN"/>
              </w:rPr>
              <w:t>净水材料，无机高分子混凝剂，简称聚铝，它是介于AlCI</w:t>
            </w:r>
            <w:r>
              <w:rPr>
                <w:rFonts w:hint="default"/>
                <w:vertAlign w:val="subscript"/>
                <w:lang w:val="zh-CN"/>
              </w:rPr>
              <w:t>3</w:t>
            </w:r>
            <w:r>
              <w:rPr>
                <w:rFonts w:hint="default"/>
                <w:lang w:val="zh-CN"/>
              </w:rPr>
              <w:t>和Al(OH)</w:t>
            </w:r>
            <w:r>
              <w:rPr>
                <w:rFonts w:hint="default"/>
                <w:vertAlign w:val="subscript"/>
                <w:lang w:val="zh-CN"/>
              </w:rPr>
              <w:t>3</w:t>
            </w:r>
            <w:r>
              <w:rPr>
                <w:rFonts w:hint="default"/>
                <w:lang w:val="zh-CN"/>
              </w:rPr>
              <w:t>之间的一种水溶性无机高分子聚合物，化学通式为[Al</w:t>
            </w:r>
            <w:r>
              <w:rPr>
                <w:rFonts w:hint="default"/>
                <w:vertAlign w:val="subscript"/>
                <w:lang w:val="zh-CN"/>
              </w:rPr>
              <w:t>2</w:t>
            </w:r>
            <w:r>
              <w:rPr>
                <w:rFonts w:hint="default"/>
                <w:lang w:val="zh-CN"/>
              </w:rPr>
              <w:t>(OH)nCl</w:t>
            </w:r>
            <w:r>
              <w:rPr>
                <w:rFonts w:hint="default"/>
                <w:vertAlign w:val="subscript"/>
                <w:lang w:val="zh-CN"/>
              </w:rPr>
              <w:t>6</w:t>
            </w:r>
            <w:r>
              <w:rPr>
                <w:rFonts w:hint="default"/>
                <w:lang w:val="zh-CN"/>
              </w:rPr>
              <w:t>-nLm]，其中m代表聚合程度，n表示PAC产品的中性程度。m品的中，n=1-5为具有Keggin结构的高电荷聚合环链体，对水中胶体和颗粒物具有高度电中和及桥联作用，并可强力去除微有毒物及重金属离子，性状稳定。由于氢氧根离子的架桥作用和多价阴离子的聚合作用，生产出来的聚合氯化铝是相对分子质量较大、电荷较高的无机高分子水处理药剂。</w:t>
            </w:r>
          </w:p>
          <w:p w14:paraId="3E7744EC">
            <w:pPr>
              <w:pStyle w:val="42"/>
              <w:widowControl/>
              <w:ind w:firstLine="482"/>
              <w:jc w:val="left"/>
              <w:rPr>
                <w:b/>
                <w:bCs/>
                <w:color w:val="000000" w:themeColor="text1"/>
                <w14:textFill>
                  <w14:solidFill>
                    <w14:schemeClr w14:val="tx1"/>
                  </w14:solidFill>
                </w14:textFill>
              </w:rPr>
            </w:pPr>
            <w:r>
              <w:rPr>
                <w:rFonts w:hint="eastAsia"/>
                <w:b/>
                <w:bCs/>
              </w:rPr>
              <w:t>（</w:t>
            </w:r>
            <w:r>
              <w:rPr>
                <w:rFonts w:hint="eastAsia"/>
                <w:b/>
                <w:bCs/>
                <w:lang w:val="en-US" w:eastAsia="zh-CN"/>
              </w:rPr>
              <w:t>八</w:t>
            </w:r>
            <w:r>
              <w:rPr>
                <w:rFonts w:hint="eastAsia"/>
                <w:b/>
                <w:bCs/>
              </w:rPr>
              <w:t>）工作制度及</w:t>
            </w:r>
            <w:r>
              <w:rPr>
                <w:b/>
                <w:bCs/>
                <w:color w:val="000000" w:themeColor="text1"/>
                <w14:textFill>
                  <w14:solidFill>
                    <w14:schemeClr w14:val="tx1"/>
                  </w14:solidFill>
                </w14:textFill>
              </w:rPr>
              <w:t>劳动定员</w:t>
            </w:r>
          </w:p>
          <w:p w14:paraId="1B1CDED3">
            <w:pPr>
              <w:pStyle w:val="36"/>
              <w:ind w:firstLine="480"/>
              <w:rPr>
                <w:rFonts w:hint="default"/>
              </w:rPr>
            </w:pPr>
            <w:r>
              <w:rPr>
                <w:rFonts w:hint="eastAsia"/>
              </w:rPr>
              <w:t>本工程各污水处理站全年运行365天，每天运行24小时</w:t>
            </w:r>
            <w:r>
              <w:rPr>
                <w:rFonts w:hint="eastAsia"/>
                <w:lang w:eastAsia="zh-CN"/>
              </w:rPr>
              <w:t>，</w:t>
            </w:r>
            <w:r>
              <w:rPr>
                <w:rFonts w:hint="eastAsia"/>
                <w:lang w:val="en-US" w:eastAsia="zh-CN"/>
              </w:rPr>
              <w:t>劳动定员2人</w:t>
            </w:r>
            <w:r>
              <w:rPr>
                <w:rFonts w:hint="eastAsia"/>
              </w:rPr>
              <w:t>。</w:t>
            </w:r>
          </w:p>
          <w:p w14:paraId="47DFBEEA">
            <w:pPr>
              <w:pStyle w:val="42"/>
              <w:widowControl/>
              <w:ind w:firstLine="482"/>
              <w:jc w:val="left"/>
              <w:rPr>
                <w:b/>
                <w:bCs/>
              </w:rPr>
            </w:pPr>
            <w:r>
              <w:rPr>
                <w:rFonts w:hint="eastAsia"/>
                <w:b/>
                <w:bCs/>
              </w:rPr>
              <w:t>（</w:t>
            </w:r>
            <w:r>
              <w:rPr>
                <w:rFonts w:hint="eastAsia"/>
                <w:b/>
                <w:bCs/>
                <w:lang w:val="en-US" w:eastAsia="zh-CN"/>
              </w:rPr>
              <w:t>九</w:t>
            </w:r>
            <w:r>
              <w:rPr>
                <w:rFonts w:hint="eastAsia"/>
                <w:b/>
                <w:bCs/>
              </w:rPr>
              <w:t>）</w:t>
            </w:r>
            <w:r>
              <w:rPr>
                <w:b/>
                <w:bCs/>
              </w:rPr>
              <w:t>给排水</w:t>
            </w:r>
          </w:p>
          <w:p w14:paraId="26E9E1C7">
            <w:pPr>
              <w:pStyle w:val="36"/>
              <w:ind w:firstLine="482"/>
              <w:rPr>
                <w:rFonts w:hint="default"/>
              </w:rPr>
            </w:pPr>
            <w:r>
              <w:rPr>
                <w:b/>
                <w:bCs/>
              </w:rPr>
              <w:t>1、</w:t>
            </w:r>
            <w:r>
              <w:rPr>
                <w:rFonts w:hint="default"/>
                <w:b/>
                <w:bCs/>
              </w:rPr>
              <w:t>给水：</w:t>
            </w:r>
            <w:r>
              <w:rPr>
                <w:rFonts w:hint="default"/>
              </w:rPr>
              <w:t>本</w:t>
            </w:r>
            <w:r>
              <w:t>项目生活用水</w:t>
            </w:r>
            <w:r>
              <w:rPr>
                <w:rFonts w:hint="default"/>
              </w:rPr>
              <w:t>给水</w:t>
            </w:r>
            <w:r>
              <w:t>来自</w:t>
            </w:r>
            <w:r>
              <w:rPr>
                <w:rFonts w:hint="default"/>
              </w:rPr>
              <w:t>市政自来水</w:t>
            </w:r>
            <w:r>
              <w:t>，</w:t>
            </w:r>
            <w:r>
              <w:rPr>
                <w:rFonts w:hint="default"/>
              </w:rPr>
              <w:t>生产用水分为加药稀释用水、</w:t>
            </w:r>
            <w:bookmarkStart w:id="20" w:name="OLE_LINK3"/>
            <w:r>
              <w:rPr>
                <w:rFonts w:hint="default"/>
              </w:rPr>
              <w:t>分析化验用水</w:t>
            </w:r>
            <w:bookmarkEnd w:id="20"/>
            <w:r>
              <w:rPr>
                <w:rFonts w:hint="default"/>
              </w:rPr>
              <w:t>、设备冲洗水等</w:t>
            </w:r>
            <w:r>
              <w:t>，生产用水中的设备冲洗水、</w:t>
            </w:r>
            <w:r>
              <w:rPr>
                <w:rFonts w:hint="default"/>
              </w:rPr>
              <w:t>加药稀释用水由污水处理系统处理后的清水通过回用水系统供给。</w:t>
            </w:r>
          </w:p>
          <w:p w14:paraId="47DF303D">
            <w:pPr>
              <w:pStyle w:val="36"/>
              <w:ind w:firstLine="482"/>
              <w:rPr>
                <w:rStyle w:val="37"/>
                <w:rFonts w:hint="eastAsia"/>
                <w:lang w:eastAsia="zh-CN"/>
              </w:rPr>
            </w:pPr>
            <w:r>
              <w:rPr>
                <w:b/>
                <w:bCs/>
              </w:rPr>
              <w:t>2、</w:t>
            </w:r>
            <w:r>
              <w:rPr>
                <w:rFonts w:hint="default"/>
                <w:b/>
                <w:bCs/>
              </w:rPr>
              <w:t>排水：</w:t>
            </w:r>
            <w:r>
              <w:rPr>
                <w:rStyle w:val="37"/>
                <w:rFonts w:hint="default"/>
              </w:rPr>
              <w:t>排水为雨污分流制，本工程自建污水管网仅接收圩镇化粪池和厨房的污水，不接收圩镇产生的雨水。</w:t>
            </w:r>
            <w:r>
              <w:rPr>
                <w:rStyle w:val="37"/>
              </w:rPr>
              <w:t>项</w:t>
            </w:r>
            <w:r>
              <w:rPr>
                <w:rStyle w:val="37"/>
                <w:rFonts w:hint="eastAsia"/>
                <w:lang w:val="en-US" w:eastAsia="zh-CN"/>
              </w:rPr>
              <w:t>目污水处理厂</w:t>
            </w:r>
            <w:r>
              <w:rPr>
                <w:rStyle w:val="37"/>
              </w:rPr>
              <w:t>出水水质指标执行《城镇污水处理厂污染物排放标准》（GB18918-2002）一级A标准，出水排入</w:t>
            </w:r>
            <w:r>
              <w:rPr>
                <w:rStyle w:val="37"/>
                <w:rFonts w:hint="eastAsia"/>
                <w:lang w:eastAsia="zh-CN"/>
              </w:rPr>
              <w:t>青塘河。</w:t>
            </w:r>
          </w:p>
          <w:p w14:paraId="3F7A5B46">
            <w:pPr>
              <w:pStyle w:val="36"/>
              <w:ind w:firstLine="482"/>
              <w:rPr>
                <w:rStyle w:val="37"/>
                <w:rFonts w:hint="eastAsia"/>
                <w:lang w:eastAsia="zh-CN"/>
              </w:rPr>
            </w:pPr>
          </w:p>
          <w:p w14:paraId="09AB6A55">
            <w:pPr>
              <w:pStyle w:val="36"/>
              <w:ind w:firstLine="482"/>
              <w:rPr>
                <w:rStyle w:val="37"/>
                <w:rFonts w:hint="eastAsia"/>
                <w:lang w:eastAsia="zh-CN"/>
              </w:rPr>
            </w:pPr>
          </w:p>
          <w:p w14:paraId="5533F3A4">
            <w:pPr>
              <w:pStyle w:val="36"/>
              <w:ind w:firstLine="482"/>
              <w:rPr>
                <w:rStyle w:val="37"/>
                <w:rFonts w:hint="eastAsia"/>
                <w:lang w:eastAsia="zh-CN"/>
              </w:rPr>
            </w:pPr>
          </w:p>
          <w:p w14:paraId="7FA357E7">
            <w:pPr>
              <w:pStyle w:val="36"/>
              <w:ind w:firstLine="482"/>
              <w:rPr>
                <w:rStyle w:val="37"/>
                <w:rFonts w:hint="eastAsia"/>
                <w:lang w:eastAsia="zh-CN"/>
              </w:rPr>
            </w:pPr>
          </w:p>
          <w:p w14:paraId="1C068518">
            <w:pPr>
              <w:pStyle w:val="36"/>
              <w:ind w:firstLine="482"/>
              <w:rPr>
                <w:rStyle w:val="37"/>
                <w:rFonts w:hint="eastAsia"/>
                <w:lang w:eastAsia="zh-CN"/>
              </w:rPr>
            </w:pPr>
          </w:p>
          <w:p w14:paraId="4CDC7240">
            <w:pPr>
              <w:pStyle w:val="36"/>
              <w:ind w:firstLine="482"/>
              <w:rPr>
                <w:rStyle w:val="37"/>
                <w:rFonts w:hint="eastAsia"/>
                <w:lang w:eastAsia="zh-CN"/>
              </w:rPr>
            </w:pPr>
          </w:p>
          <w:p w14:paraId="267669DB">
            <w:pPr>
              <w:pStyle w:val="36"/>
              <w:ind w:firstLine="482"/>
              <w:rPr>
                <w:rStyle w:val="37"/>
                <w:rFonts w:hint="eastAsia"/>
                <w:lang w:eastAsia="zh-CN"/>
              </w:rPr>
            </w:pPr>
          </w:p>
          <w:p w14:paraId="453FC89E">
            <w:pPr>
              <w:pStyle w:val="36"/>
              <w:ind w:firstLine="482"/>
              <w:rPr>
                <w:rStyle w:val="37"/>
                <w:rFonts w:hint="eastAsia"/>
                <w:lang w:eastAsia="zh-CN"/>
              </w:rPr>
            </w:pPr>
          </w:p>
          <w:p w14:paraId="5FCFA5D9">
            <w:pPr>
              <w:pStyle w:val="36"/>
              <w:ind w:firstLine="482"/>
              <w:rPr>
                <w:rStyle w:val="37"/>
                <w:rFonts w:hint="eastAsia"/>
                <w:lang w:eastAsia="zh-CN"/>
              </w:rPr>
            </w:pPr>
          </w:p>
          <w:p w14:paraId="4AAEE361">
            <w:pPr>
              <w:pStyle w:val="36"/>
              <w:ind w:firstLine="482"/>
              <w:rPr>
                <w:rStyle w:val="37"/>
                <w:rFonts w:hint="eastAsia"/>
                <w:lang w:eastAsia="zh-CN"/>
              </w:rPr>
            </w:pPr>
          </w:p>
          <w:p w14:paraId="70897EE2">
            <w:pPr>
              <w:pStyle w:val="36"/>
              <w:ind w:firstLine="482"/>
              <w:rPr>
                <w:rStyle w:val="37"/>
                <w:rFonts w:hint="eastAsia"/>
                <w:lang w:eastAsia="zh-CN"/>
              </w:rPr>
            </w:pPr>
          </w:p>
          <w:p w14:paraId="7557B831">
            <w:pPr>
              <w:pStyle w:val="36"/>
              <w:ind w:firstLine="482"/>
              <w:rPr>
                <w:rStyle w:val="37"/>
                <w:rFonts w:hint="eastAsia"/>
                <w:lang w:eastAsia="zh-CN"/>
              </w:rPr>
            </w:pPr>
          </w:p>
          <w:p w14:paraId="64907961">
            <w:pPr>
              <w:pStyle w:val="36"/>
              <w:ind w:firstLine="482"/>
              <w:rPr>
                <w:rStyle w:val="37"/>
                <w:rFonts w:hint="eastAsia"/>
                <w:lang w:eastAsia="zh-CN"/>
              </w:rPr>
            </w:pPr>
          </w:p>
          <w:p w14:paraId="74194F54">
            <w:pPr>
              <w:pStyle w:val="36"/>
              <w:ind w:firstLine="482"/>
              <w:rPr>
                <w:rStyle w:val="37"/>
                <w:rFonts w:hint="eastAsia"/>
                <w:lang w:eastAsia="zh-CN"/>
              </w:rPr>
            </w:pPr>
          </w:p>
          <w:p w14:paraId="5E722002">
            <w:pPr>
              <w:pStyle w:val="36"/>
              <w:ind w:firstLine="482"/>
              <w:rPr>
                <w:rStyle w:val="37"/>
                <w:rFonts w:hint="eastAsia"/>
                <w:lang w:eastAsia="zh-CN"/>
              </w:rPr>
            </w:pPr>
          </w:p>
          <w:p w14:paraId="10D7BC6B">
            <w:pPr>
              <w:pStyle w:val="36"/>
              <w:ind w:firstLine="482"/>
              <w:rPr>
                <w:rStyle w:val="37"/>
                <w:rFonts w:hint="eastAsia"/>
                <w:lang w:eastAsia="zh-CN"/>
              </w:rPr>
            </w:pPr>
          </w:p>
          <w:p w14:paraId="00A2CC72">
            <w:pPr>
              <w:pStyle w:val="36"/>
              <w:ind w:firstLine="482"/>
              <w:rPr>
                <w:rStyle w:val="37"/>
                <w:rFonts w:hint="eastAsia"/>
                <w:lang w:eastAsia="zh-CN"/>
              </w:rPr>
            </w:pPr>
          </w:p>
          <w:p w14:paraId="53D6BF35">
            <w:pPr>
              <w:pStyle w:val="36"/>
              <w:ind w:firstLine="482"/>
              <w:rPr>
                <w:rStyle w:val="37"/>
                <w:rFonts w:hint="eastAsia"/>
                <w:lang w:eastAsia="zh-CN"/>
              </w:rPr>
            </w:pPr>
          </w:p>
          <w:p w14:paraId="53887054">
            <w:pPr>
              <w:pStyle w:val="36"/>
              <w:ind w:firstLine="482"/>
              <w:rPr>
                <w:rStyle w:val="37"/>
                <w:rFonts w:hint="eastAsia"/>
                <w:lang w:eastAsia="zh-CN"/>
              </w:rPr>
            </w:pPr>
          </w:p>
          <w:p w14:paraId="7913DF9A">
            <w:pPr>
              <w:pStyle w:val="36"/>
              <w:ind w:firstLine="482"/>
              <w:rPr>
                <w:rStyle w:val="37"/>
                <w:rFonts w:hint="eastAsia"/>
                <w:lang w:eastAsia="zh-CN"/>
              </w:rPr>
            </w:pPr>
          </w:p>
          <w:p w14:paraId="643AC27B">
            <w:pPr>
              <w:pStyle w:val="36"/>
              <w:ind w:firstLine="482"/>
              <w:rPr>
                <w:rStyle w:val="37"/>
                <w:rFonts w:hint="eastAsia"/>
                <w:lang w:eastAsia="zh-CN"/>
              </w:rPr>
            </w:pPr>
          </w:p>
          <w:p w14:paraId="26056B0C">
            <w:pPr>
              <w:pStyle w:val="36"/>
              <w:ind w:firstLine="482"/>
              <w:rPr>
                <w:rStyle w:val="37"/>
                <w:rFonts w:hint="eastAsia"/>
                <w:lang w:eastAsia="zh-CN"/>
              </w:rPr>
            </w:pPr>
          </w:p>
          <w:p w14:paraId="7970F1DC">
            <w:pPr>
              <w:pStyle w:val="36"/>
              <w:ind w:firstLine="482"/>
              <w:rPr>
                <w:rStyle w:val="37"/>
                <w:rFonts w:hint="eastAsia"/>
                <w:lang w:eastAsia="zh-CN"/>
              </w:rPr>
            </w:pPr>
          </w:p>
          <w:p w14:paraId="67698C9D">
            <w:pPr>
              <w:pStyle w:val="36"/>
              <w:ind w:firstLine="482"/>
              <w:rPr>
                <w:rStyle w:val="37"/>
                <w:rFonts w:hint="eastAsia"/>
                <w:lang w:eastAsia="zh-CN"/>
              </w:rPr>
            </w:pPr>
          </w:p>
          <w:p w14:paraId="5D2DB7B5">
            <w:pPr>
              <w:pStyle w:val="36"/>
              <w:ind w:firstLine="482"/>
              <w:rPr>
                <w:rStyle w:val="37"/>
                <w:rFonts w:hint="eastAsia"/>
                <w:lang w:eastAsia="zh-CN"/>
              </w:rPr>
            </w:pPr>
          </w:p>
          <w:p w14:paraId="2458CC96">
            <w:pPr>
              <w:pStyle w:val="36"/>
              <w:ind w:firstLine="482"/>
              <w:rPr>
                <w:rStyle w:val="37"/>
                <w:rFonts w:hint="eastAsia"/>
                <w:lang w:eastAsia="zh-CN"/>
              </w:rPr>
            </w:pPr>
          </w:p>
          <w:p w14:paraId="63673329">
            <w:pPr>
              <w:pStyle w:val="36"/>
              <w:ind w:firstLine="482"/>
              <w:rPr>
                <w:rStyle w:val="37"/>
                <w:rFonts w:hint="eastAsia"/>
                <w:lang w:eastAsia="zh-CN"/>
              </w:rPr>
            </w:pPr>
          </w:p>
          <w:p w14:paraId="2B9D93D4">
            <w:pPr>
              <w:pStyle w:val="36"/>
              <w:ind w:left="0" w:leftChars="0" w:firstLine="0" w:firstLineChars="0"/>
              <w:rPr>
                <w:rStyle w:val="37"/>
                <w:rFonts w:hint="eastAsia"/>
                <w:lang w:eastAsia="zh-CN"/>
              </w:rPr>
            </w:pPr>
          </w:p>
          <w:p w14:paraId="084F230A">
            <w:pPr>
              <w:pStyle w:val="36"/>
              <w:ind w:left="0" w:leftChars="0" w:firstLine="0" w:firstLineChars="0"/>
              <w:rPr>
                <w:rStyle w:val="37"/>
                <w:rFonts w:hint="eastAsia"/>
                <w:lang w:eastAsia="zh-CN"/>
              </w:rPr>
            </w:pPr>
          </w:p>
          <w:p w14:paraId="6E88ACE2">
            <w:pPr>
              <w:pStyle w:val="36"/>
              <w:ind w:left="0" w:leftChars="0" w:firstLine="0" w:firstLineChars="0"/>
              <w:rPr>
                <w:rStyle w:val="37"/>
                <w:rFonts w:hint="eastAsia"/>
                <w:lang w:eastAsia="zh-CN"/>
              </w:rPr>
            </w:pPr>
          </w:p>
          <w:p w14:paraId="0E99E419">
            <w:pPr>
              <w:pStyle w:val="36"/>
              <w:ind w:left="0" w:leftChars="0" w:firstLine="0" w:firstLineChars="0"/>
              <w:rPr>
                <w:rStyle w:val="37"/>
                <w:rFonts w:hint="eastAsia"/>
                <w:lang w:eastAsia="zh-CN"/>
              </w:rPr>
            </w:pPr>
          </w:p>
        </w:tc>
      </w:tr>
      <w:tr w14:paraId="60474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9" w:hRule="atLeast"/>
          <w:jc w:val="center"/>
        </w:trPr>
        <w:tc>
          <w:tcPr>
            <w:tcW w:w="414" w:type="pct"/>
            <w:vAlign w:val="center"/>
          </w:tcPr>
          <w:p w14:paraId="6C33F705">
            <w:pPr>
              <w:pStyle w:val="24"/>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4585" w:type="pct"/>
            <w:vAlign w:val="center"/>
          </w:tcPr>
          <w:p w14:paraId="0C98C28E">
            <w:pPr>
              <w:spacing w:line="360" w:lineRule="auto"/>
              <w:ind w:firstLine="482" w:firstLineChars="200"/>
              <w:jc w:val="left"/>
              <w:rPr>
                <w:b/>
                <w:bCs/>
                <w:color w:val="000000"/>
                <w:sz w:val="24"/>
              </w:rPr>
            </w:pPr>
            <w:r>
              <w:rPr>
                <w:rFonts w:hint="eastAsia"/>
                <w:b/>
                <w:bCs/>
                <w:color w:val="000000"/>
                <w:sz w:val="24"/>
              </w:rPr>
              <w:t>（一）</w:t>
            </w:r>
            <w:r>
              <w:rPr>
                <w:b/>
                <w:bCs/>
                <w:color w:val="000000"/>
                <w:sz w:val="24"/>
              </w:rPr>
              <w:t>施工期：</w:t>
            </w:r>
          </w:p>
          <w:p w14:paraId="6B9A2B7D">
            <w:pPr>
              <w:pStyle w:val="36"/>
              <w:ind w:firstLine="480"/>
              <w:rPr>
                <w:rFonts w:hint="default"/>
              </w:rPr>
            </w:pPr>
            <w:r>
              <w:t>工程施工顺序按照先地下后地上的原则，将工程划分为基础工程、主体结构工程、外墙内饰装修、设备安装工程和工程验收五个阶段。</w:t>
            </w:r>
          </w:p>
          <w:p w14:paraId="612C19A1">
            <w:pPr>
              <w:pStyle w:val="36"/>
              <w:ind w:firstLine="480"/>
              <w:rPr>
                <w:rFonts w:hint="default"/>
              </w:rPr>
            </w:pPr>
            <w:r>
              <w:t>本项目施工期工艺流程和产污环节见下图。</w:t>
            </w:r>
          </w:p>
          <w:p w14:paraId="02492500">
            <w:pPr>
              <w:pStyle w:val="38"/>
            </w:pPr>
            <w:r>
              <w:drawing>
                <wp:inline distT="0" distB="0" distL="114300" distR="114300">
                  <wp:extent cx="4728845" cy="1261745"/>
                  <wp:effectExtent l="0" t="0" r="14605" b="14605"/>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16"/>
                          <a:stretch>
                            <a:fillRect/>
                          </a:stretch>
                        </pic:blipFill>
                        <pic:spPr>
                          <a:xfrm>
                            <a:off x="0" y="0"/>
                            <a:ext cx="4728845" cy="1261745"/>
                          </a:xfrm>
                          <a:prstGeom prst="rect">
                            <a:avLst/>
                          </a:prstGeom>
                          <a:noFill/>
                          <a:ln>
                            <a:noFill/>
                          </a:ln>
                        </pic:spPr>
                      </pic:pic>
                    </a:graphicData>
                  </a:graphic>
                </wp:inline>
              </w:drawing>
            </w:r>
          </w:p>
          <w:p w14:paraId="4114D11D">
            <w:pPr>
              <w:pStyle w:val="53"/>
            </w:pPr>
            <w:r>
              <w:rPr>
                <w:rFonts w:hint="eastAsia"/>
              </w:rPr>
              <w:t>项目施工期工艺流程及产污环节图</w:t>
            </w:r>
          </w:p>
          <w:p w14:paraId="467457F7">
            <w:pPr>
              <w:pStyle w:val="36"/>
              <w:ind w:firstLine="480"/>
              <w:rPr>
                <w:rFonts w:hint="default"/>
              </w:rPr>
            </w:pPr>
            <w:r>
              <w:rPr>
                <w:rFonts w:hint="default"/>
              </w:rPr>
              <w:t>产污环节分析</w:t>
            </w:r>
          </w:p>
          <w:p w14:paraId="26F3AC89">
            <w:pPr>
              <w:pStyle w:val="52"/>
            </w:pPr>
            <w:r>
              <w:t>工程施工期产污节点一览表</w:t>
            </w:r>
          </w:p>
          <w:tbl>
            <w:tblPr>
              <w:tblStyle w:val="129"/>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444"/>
              <w:gridCol w:w="1284"/>
              <w:gridCol w:w="2379"/>
              <w:gridCol w:w="4452"/>
            </w:tblGrid>
            <w:tr w14:paraId="096977C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259" w:type="pct"/>
                  <w:tcBorders>
                    <w:tl2br w:val="nil"/>
                    <w:tr2bl w:val="nil"/>
                  </w:tcBorders>
                  <w:vAlign w:val="center"/>
                </w:tcPr>
                <w:p w14:paraId="3AF13AF5">
                  <w:pPr>
                    <w:pStyle w:val="38"/>
                    <w:rPr>
                      <w:b/>
                      <w:bCs/>
                    </w:rPr>
                  </w:pPr>
                  <w:r>
                    <w:rPr>
                      <w:b/>
                      <w:bCs/>
                    </w:rPr>
                    <w:t>类别</w:t>
                  </w:r>
                </w:p>
              </w:tc>
              <w:tc>
                <w:tcPr>
                  <w:tcW w:w="750" w:type="pct"/>
                  <w:tcBorders>
                    <w:tl2br w:val="nil"/>
                    <w:tr2bl w:val="nil"/>
                  </w:tcBorders>
                  <w:vAlign w:val="center"/>
                </w:tcPr>
                <w:p w14:paraId="22764042">
                  <w:pPr>
                    <w:pStyle w:val="38"/>
                    <w:rPr>
                      <w:b/>
                      <w:bCs/>
                    </w:rPr>
                  </w:pPr>
                  <w:r>
                    <w:rPr>
                      <w:b/>
                      <w:bCs/>
                    </w:rPr>
                    <w:t>产污环节</w:t>
                  </w:r>
                </w:p>
              </w:tc>
              <w:tc>
                <w:tcPr>
                  <w:tcW w:w="1389" w:type="pct"/>
                  <w:tcBorders>
                    <w:tl2br w:val="nil"/>
                    <w:tr2bl w:val="nil"/>
                  </w:tcBorders>
                  <w:vAlign w:val="center"/>
                </w:tcPr>
                <w:p w14:paraId="14419B0D">
                  <w:pPr>
                    <w:pStyle w:val="38"/>
                    <w:rPr>
                      <w:b/>
                      <w:bCs/>
                    </w:rPr>
                  </w:pPr>
                  <w:r>
                    <w:rPr>
                      <w:b/>
                      <w:bCs/>
                    </w:rPr>
                    <w:t>污染因子</w:t>
                  </w:r>
                </w:p>
              </w:tc>
              <w:tc>
                <w:tcPr>
                  <w:tcW w:w="2600" w:type="pct"/>
                  <w:tcBorders>
                    <w:tl2br w:val="nil"/>
                    <w:tr2bl w:val="nil"/>
                  </w:tcBorders>
                  <w:vAlign w:val="center"/>
                </w:tcPr>
                <w:p w14:paraId="64B9F746">
                  <w:pPr>
                    <w:pStyle w:val="38"/>
                    <w:rPr>
                      <w:b/>
                      <w:bCs/>
                    </w:rPr>
                  </w:pPr>
                  <w:r>
                    <w:rPr>
                      <w:b/>
                      <w:bCs/>
                    </w:rPr>
                    <w:t>处理措施</w:t>
                  </w:r>
                </w:p>
              </w:tc>
            </w:tr>
            <w:tr w14:paraId="1231A1C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259" w:type="pct"/>
                  <w:vMerge w:val="restart"/>
                  <w:tcBorders>
                    <w:tl2br w:val="nil"/>
                    <w:tr2bl w:val="nil"/>
                  </w:tcBorders>
                  <w:vAlign w:val="center"/>
                </w:tcPr>
                <w:p w14:paraId="51894BFF">
                  <w:pPr>
                    <w:pStyle w:val="38"/>
                  </w:pPr>
                  <w:r>
                    <w:t>废水</w:t>
                  </w:r>
                </w:p>
              </w:tc>
              <w:tc>
                <w:tcPr>
                  <w:tcW w:w="750" w:type="pct"/>
                  <w:tcBorders>
                    <w:tl2br w:val="nil"/>
                    <w:tr2bl w:val="nil"/>
                  </w:tcBorders>
                  <w:vAlign w:val="center"/>
                </w:tcPr>
                <w:p w14:paraId="5E987FB0">
                  <w:pPr>
                    <w:pStyle w:val="38"/>
                  </w:pPr>
                  <w:r>
                    <w:t>施工生产废水</w:t>
                  </w:r>
                </w:p>
              </w:tc>
              <w:tc>
                <w:tcPr>
                  <w:tcW w:w="1389" w:type="pct"/>
                  <w:tcBorders>
                    <w:tl2br w:val="nil"/>
                    <w:tr2bl w:val="nil"/>
                  </w:tcBorders>
                  <w:vAlign w:val="center"/>
                </w:tcPr>
                <w:p w14:paraId="2FBD1888">
                  <w:pPr>
                    <w:pStyle w:val="38"/>
                  </w:pPr>
                  <w:r>
                    <w:t>SS、石油类</w:t>
                  </w:r>
                </w:p>
              </w:tc>
              <w:tc>
                <w:tcPr>
                  <w:tcW w:w="2600" w:type="pct"/>
                  <w:tcBorders>
                    <w:tl2br w:val="nil"/>
                    <w:tr2bl w:val="nil"/>
                  </w:tcBorders>
                  <w:vAlign w:val="center"/>
                </w:tcPr>
                <w:p w14:paraId="0B8D24AB">
                  <w:pPr>
                    <w:pStyle w:val="38"/>
                  </w:pPr>
                  <w:r>
                    <w:t>临时隔油沉淀池处理后，回用于生产</w:t>
                  </w:r>
                </w:p>
              </w:tc>
            </w:tr>
            <w:tr w14:paraId="545FAE87">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259" w:type="pct"/>
                  <w:vMerge w:val="continue"/>
                  <w:tcBorders>
                    <w:tl2br w:val="nil"/>
                    <w:tr2bl w:val="nil"/>
                  </w:tcBorders>
                  <w:vAlign w:val="center"/>
                </w:tcPr>
                <w:p w14:paraId="0AA959C2">
                  <w:pPr>
                    <w:pStyle w:val="38"/>
                  </w:pPr>
                </w:p>
              </w:tc>
              <w:tc>
                <w:tcPr>
                  <w:tcW w:w="750" w:type="pct"/>
                  <w:tcBorders>
                    <w:tl2br w:val="nil"/>
                    <w:tr2bl w:val="nil"/>
                  </w:tcBorders>
                  <w:vAlign w:val="center"/>
                </w:tcPr>
                <w:p w14:paraId="02B129A0">
                  <w:pPr>
                    <w:pStyle w:val="38"/>
                  </w:pPr>
                  <w:r>
                    <w:t>生活污水</w:t>
                  </w:r>
                </w:p>
              </w:tc>
              <w:tc>
                <w:tcPr>
                  <w:tcW w:w="1389" w:type="pct"/>
                  <w:tcBorders>
                    <w:tl2br w:val="nil"/>
                    <w:tr2bl w:val="nil"/>
                  </w:tcBorders>
                  <w:vAlign w:val="center"/>
                </w:tcPr>
                <w:p w14:paraId="31D4E287">
                  <w:pPr>
                    <w:pStyle w:val="38"/>
                  </w:pPr>
                  <w:r>
                    <w:t>COD、</w:t>
                  </w:r>
                  <w:r>
                    <w:rPr>
                      <w:rFonts w:hint="default"/>
                    </w:rPr>
                    <w:t>BOD</w:t>
                  </w:r>
                  <w:r>
                    <w:rPr>
                      <w:rFonts w:hint="default"/>
                      <w:vertAlign w:val="subscript"/>
                    </w:rPr>
                    <w:t>5</w:t>
                  </w:r>
                  <w:r>
                    <w:t>、SS、NH</w:t>
                  </w:r>
                  <w:r>
                    <w:rPr>
                      <w:vertAlign w:val="subscript"/>
                    </w:rPr>
                    <w:t>3</w:t>
                  </w:r>
                  <w:r>
                    <w:t>-N、动植物油等</w:t>
                  </w:r>
                </w:p>
              </w:tc>
              <w:tc>
                <w:tcPr>
                  <w:tcW w:w="2600" w:type="pct"/>
                  <w:tcBorders>
                    <w:tl2br w:val="nil"/>
                    <w:tr2bl w:val="nil"/>
                  </w:tcBorders>
                  <w:vAlign w:val="center"/>
                </w:tcPr>
                <w:p w14:paraId="3B7FD811">
                  <w:pPr>
                    <w:pStyle w:val="38"/>
                  </w:pPr>
                  <w:r>
                    <w:rPr>
                      <w:rFonts w:hint="eastAsia"/>
                    </w:rPr>
                    <w:t>依据现场需要设置临时卫生间、委托环卫部门定时处置</w:t>
                  </w:r>
                </w:p>
              </w:tc>
            </w:tr>
            <w:tr w14:paraId="11EF97A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259" w:type="pct"/>
                  <w:vMerge w:val="restart"/>
                  <w:tcBorders>
                    <w:tl2br w:val="nil"/>
                    <w:tr2bl w:val="nil"/>
                  </w:tcBorders>
                  <w:vAlign w:val="center"/>
                </w:tcPr>
                <w:p w14:paraId="328E679A">
                  <w:pPr>
                    <w:pStyle w:val="38"/>
                  </w:pPr>
                  <w:r>
                    <w:t>废气</w:t>
                  </w:r>
                </w:p>
              </w:tc>
              <w:tc>
                <w:tcPr>
                  <w:tcW w:w="750" w:type="pct"/>
                  <w:tcBorders>
                    <w:tl2br w:val="nil"/>
                    <w:tr2bl w:val="nil"/>
                  </w:tcBorders>
                  <w:vAlign w:val="center"/>
                </w:tcPr>
                <w:p w14:paraId="43DC34DE">
                  <w:pPr>
                    <w:pStyle w:val="38"/>
                  </w:pPr>
                  <w:r>
                    <w:t>施工扬尘</w:t>
                  </w:r>
                </w:p>
              </w:tc>
              <w:tc>
                <w:tcPr>
                  <w:tcW w:w="1389" w:type="pct"/>
                  <w:tcBorders>
                    <w:tl2br w:val="nil"/>
                    <w:tr2bl w:val="nil"/>
                  </w:tcBorders>
                  <w:vAlign w:val="center"/>
                </w:tcPr>
                <w:p w14:paraId="45440C3C">
                  <w:pPr>
                    <w:pStyle w:val="38"/>
                  </w:pPr>
                  <w:r>
                    <w:t>TSP</w:t>
                  </w:r>
                </w:p>
              </w:tc>
              <w:tc>
                <w:tcPr>
                  <w:tcW w:w="2600" w:type="pct"/>
                  <w:tcBorders>
                    <w:tl2br w:val="nil"/>
                    <w:tr2bl w:val="nil"/>
                  </w:tcBorders>
                  <w:vAlign w:val="center"/>
                </w:tcPr>
                <w:p w14:paraId="1FD13417">
                  <w:pPr>
                    <w:pStyle w:val="38"/>
                  </w:pPr>
                  <w:r>
                    <w:t>加强管理、洒水降尘、设置围挡</w:t>
                  </w:r>
                  <w:r>
                    <w:rPr>
                      <w:rFonts w:hint="eastAsia"/>
                    </w:rPr>
                    <w:t>、车辆进出清洗</w:t>
                  </w:r>
                </w:p>
              </w:tc>
            </w:tr>
            <w:tr w14:paraId="213756A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259" w:type="pct"/>
                  <w:vMerge w:val="continue"/>
                  <w:tcBorders>
                    <w:tl2br w:val="nil"/>
                    <w:tr2bl w:val="nil"/>
                  </w:tcBorders>
                  <w:vAlign w:val="center"/>
                </w:tcPr>
                <w:p w14:paraId="122724FE">
                  <w:pPr>
                    <w:pStyle w:val="38"/>
                  </w:pPr>
                </w:p>
              </w:tc>
              <w:tc>
                <w:tcPr>
                  <w:tcW w:w="750" w:type="pct"/>
                  <w:tcBorders>
                    <w:tl2br w:val="nil"/>
                    <w:tr2bl w:val="nil"/>
                  </w:tcBorders>
                  <w:vAlign w:val="center"/>
                </w:tcPr>
                <w:p w14:paraId="3BA3E99C">
                  <w:pPr>
                    <w:pStyle w:val="38"/>
                  </w:pPr>
                  <w:r>
                    <w:t>施工机械及车辆尾气</w:t>
                  </w:r>
                </w:p>
              </w:tc>
              <w:tc>
                <w:tcPr>
                  <w:tcW w:w="1389" w:type="pct"/>
                  <w:tcBorders>
                    <w:tl2br w:val="nil"/>
                    <w:tr2bl w:val="nil"/>
                  </w:tcBorders>
                  <w:vAlign w:val="center"/>
                </w:tcPr>
                <w:p w14:paraId="19FEBCA4">
                  <w:pPr>
                    <w:pStyle w:val="38"/>
                  </w:pPr>
                  <w:r>
                    <w:t>CO、NOx、THC等</w:t>
                  </w:r>
                </w:p>
              </w:tc>
              <w:tc>
                <w:tcPr>
                  <w:tcW w:w="2600" w:type="pct"/>
                  <w:tcBorders>
                    <w:tl2br w:val="nil"/>
                    <w:tr2bl w:val="nil"/>
                  </w:tcBorders>
                  <w:vAlign w:val="center"/>
                </w:tcPr>
                <w:p w14:paraId="252BE331">
                  <w:pPr>
                    <w:pStyle w:val="38"/>
                  </w:pPr>
                  <w:r>
                    <w:rPr>
                      <w:rFonts w:hint="eastAsia"/>
                    </w:rPr>
                    <w:t>加强设备维护、</w:t>
                  </w:r>
                  <w:r>
                    <w:t>加强管理</w:t>
                  </w:r>
                </w:p>
              </w:tc>
            </w:tr>
            <w:tr w14:paraId="7264DAB3">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259" w:type="pct"/>
                  <w:vMerge w:val="continue"/>
                  <w:tcBorders>
                    <w:tl2br w:val="nil"/>
                    <w:tr2bl w:val="nil"/>
                  </w:tcBorders>
                  <w:vAlign w:val="center"/>
                </w:tcPr>
                <w:p w14:paraId="66AD2FB8">
                  <w:pPr>
                    <w:pStyle w:val="38"/>
                  </w:pPr>
                </w:p>
              </w:tc>
              <w:tc>
                <w:tcPr>
                  <w:tcW w:w="750" w:type="pct"/>
                  <w:tcBorders>
                    <w:tl2br w:val="nil"/>
                    <w:tr2bl w:val="nil"/>
                  </w:tcBorders>
                  <w:vAlign w:val="center"/>
                </w:tcPr>
                <w:p w14:paraId="3BFFDCA5">
                  <w:pPr>
                    <w:pStyle w:val="38"/>
                  </w:pPr>
                  <w:r>
                    <w:t>装饰工程</w:t>
                  </w:r>
                </w:p>
              </w:tc>
              <w:tc>
                <w:tcPr>
                  <w:tcW w:w="1389" w:type="pct"/>
                  <w:tcBorders>
                    <w:tl2br w:val="nil"/>
                    <w:tr2bl w:val="nil"/>
                  </w:tcBorders>
                  <w:vAlign w:val="center"/>
                </w:tcPr>
                <w:p w14:paraId="7A4B39CD">
                  <w:pPr>
                    <w:pStyle w:val="38"/>
                  </w:pPr>
                  <w:r>
                    <w:t>粉尘、VOCs等</w:t>
                  </w:r>
                </w:p>
              </w:tc>
              <w:tc>
                <w:tcPr>
                  <w:tcW w:w="2600" w:type="pct"/>
                  <w:tcBorders>
                    <w:tl2br w:val="nil"/>
                    <w:tr2bl w:val="nil"/>
                  </w:tcBorders>
                  <w:vAlign w:val="center"/>
                </w:tcPr>
                <w:p w14:paraId="0AF0379F">
                  <w:pPr>
                    <w:pStyle w:val="38"/>
                  </w:pPr>
                  <w:r>
                    <w:t>加强通风换气</w:t>
                  </w:r>
                </w:p>
              </w:tc>
            </w:tr>
            <w:tr w14:paraId="3CE7993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259" w:type="pct"/>
                  <w:tcBorders>
                    <w:tl2br w:val="nil"/>
                    <w:tr2bl w:val="nil"/>
                  </w:tcBorders>
                  <w:vAlign w:val="center"/>
                </w:tcPr>
                <w:p w14:paraId="7956852B">
                  <w:pPr>
                    <w:pStyle w:val="38"/>
                  </w:pPr>
                  <w:r>
                    <w:t>噪声</w:t>
                  </w:r>
                </w:p>
              </w:tc>
              <w:tc>
                <w:tcPr>
                  <w:tcW w:w="750" w:type="pct"/>
                  <w:tcBorders>
                    <w:tl2br w:val="nil"/>
                    <w:tr2bl w:val="nil"/>
                  </w:tcBorders>
                  <w:vAlign w:val="center"/>
                </w:tcPr>
                <w:p w14:paraId="3347D830">
                  <w:pPr>
                    <w:pStyle w:val="38"/>
                  </w:pPr>
                  <w:r>
                    <w:t>挖土机、推土机、铲运机噪声</w:t>
                  </w:r>
                </w:p>
              </w:tc>
              <w:tc>
                <w:tcPr>
                  <w:tcW w:w="1389" w:type="pct"/>
                  <w:tcBorders>
                    <w:tl2br w:val="nil"/>
                    <w:tr2bl w:val="nil"/>
                  </w:tcBorders>
                  <w:vAlign w:val="center"/>
                </w:tcPr>
                <w:p w14:paraId="512C12A4">
                  <w:pPr>
                    <w:pStyle w:val="38"/>
                  </w:pPr>
                  <w:r>
                    <w:t>LAeq</w:t>
                  </w:r>
                </w:p>
              </w:tc>
              <w:tc>
                <w:tcPr>
                  <w:tcW w:w="2600" w:type="pct"/>
                  <w:tcBorders>
                    <w:tl2br w:val="nil"/>
                    <w:tr2bl w:val="nil"/>
                  </w:tcBorders>
                  <w:vAlign w:val="center"/>
                </w:tcPr>
                <w:p w14:paraId="62ABAB5A">
                  <w:pPr>
                    <w:pStyle w:val="38"/>
                  </w:pPr>
                  <w:r>
                    <w:rPr>
                      <w:rFonts w:hint="eastAsia"/>
                    </w:rPr>
                    <w:t>夜间禁止打桩等高噪施工、</w:t>
                  </w:r>
                  <w:r>
                    <w:t>隔声、减振等</w:t>
                  </w:r>
                </w:p>
              </w:tc>
            </w:tr>
            <w:tr w14:paraId="2A28296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259" w:type="pct"/>
                  <w:vMerge w:val="restart"/>
                  <w:tcBorders>
                    <w:tl2br w:val="nil"/>
                    <w:tr2bl w:val="nil"/>
                  </w:tcBorders>
                  <w:vAlign w:val="center"/>
                </w:tcPr>
                <w:p w14:paraId="251C4488">
                  <w:pPr>
                    <w:pStyle w:val="38"/>
                  </w:pPr>
                  <w:r>
                    <w:t>固体废物</w:t>
                  </w:r>
                </w:p>
              </w:tc>
              <w:tc>
                <w:tcPr>
                  <w:tcW w:w="750" w:type="pct"/>
                  <w:tcBorders>
                    <w:tl2br w:val="nil"/>
                    <w:tr2bl w:val="nil"/>
                  </w:tcBorders>
                  <w:vAlign w:val="center"/>
                </w:tcPr>
                <w:p w14:paraId="15C30E3F">
                  <w:pPr>
                    <w:pStyle w:val="38"/>
                  </w:pPr>
                  <w:r>
                    <w:t>来自地基开挖及建筑施工</w:t>
                  </w:r>
                </w:p>
              </w:tc>
              <w:tc>
                <w:tcPr>
                  <w:tcW w:w="1389" w:type="pct"/>
                  <w:tcBorders>
                    <w:tl2br w:val="nil"/>
                    <w:tr2bl w:val="nil"/>
                  </w:tcBorders>
                  <w:vAlign w:val="center"/>
                </w:tcPr>
                <w:p w14:paraId="0641E2F7">
                  <w:pPr>
                    <w:pStyle w:val="38"/>
                  </w:pPr>
                  <w:r>
                    <w:t>土石方，金属边角料、焊接残渣、废弃砂盘等建筑垃圾</w:t>
                  </w:r>
                </w:p>
              </w:tc>
              <w:tc>
                <w:tcPr>
                  <w:tcW w:w="2600" w:type="pct"/>
                  <w:tcBorders>
                    <w:tl2br w:val="nil"/>
                    <w:tr2bl w:val="nil"/>
                  </w:tcBorders>
                  <w:vAlign w:val="center"/>
                </w:tcPr>
                <w:p w14:paraId="4BE644CC">
                  <w:pPr>
                    <w:pStyle w:val="38"/>
                  </w:pPr>
                  <w:r>
                    <w:t>土石方运至政府有关部门指定地点堆放；其他建筑垃圾分类收集，可回收的外售处理，不可回收的运至一般固废场所处置</w:t>
                  </w:r>
                </w:p>
              </w:tc>
            </w:tr>
            <w:tr w14:paraId="24468AD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rPr>
              <w:tc>
                <w:tcPr>
                  <w:tcW w:w="259" w:type="pct"/>
                  <w:vMerge w:val="continue"/>
                  <w:tcBorders>
                    <w:tl2br w:val="nil"/>
                    <w:tr2bl w:val="nil"/>
                  </w:tcBorders>
                  <w:vAlign w:val="center"/>
                </w:tcPr>
                <w:p w14:paraId="45B4F776">
                  <w:pPr>
                    <w:pStyle w:val="38"/>
                  </w:pPr>
                </w:p>
              </w:tc>
              <w:tc>
                <w:tcPr>
                  <w:tcW w:w="750" w:type="pct"/>
                  <w:tcBorders>
                    <w:tl2br w:val="nil"/>
                    <w:tr2bl w:val="nil"/>
                  </w:tcBorders>
                  <w:vAlign w:val="center"/>
                </w:tcPr>
                <w:p w14:paraId="32EFAAD1">
                  <w:pPr>
                    <w:pStyle w:val="38"/>
                  </w:pPr>
                  <w:r>
                    <w:rPr>
                      <w:rFonts w:hint="eastAsia"/>
                    </w:rPr>
                    <w:t>生活垃圾</w:t>
                  </w:r>
                </w:p>
              </w:tc>
              <w:tc>
                <w:tcPr>
                  <w:tcW w:w="1389" w:type="pct"/>
                  <w:tcBorders>
                    <w:tl2br w:val="nil"/>
                    <w:tr2bl w:val="nil"/>
                  </w:tcBorders>
                  <w:vAlign w:val="center"/>
                </w:tcPr>
                <w:p w14:paraId="5A7D3848">
                  <w:pPr>
                    <w:pStyle w:val="38"/>
                  </w:pPr>
                  <w:r>
                    <w:rPr>
                      <w:rFonts w:hint="eastAsia"/>
                    </w:rPr>
                    <w:t>生活垃圾</w:t>
                  </w:r>
                </w:p>
              </w:tc>
              <w:tc>
                <w:tcPr>
                  <w:tcW w:w="2600" w:type="pct"/>
                  <w:tcBorders>
                    <w:tl2br w:val="nil"/>
                    <w:tr2bl w:val="nil"/>
                  </w:tcBorders>
                  <w:vAlign w:val="center"/>
                </w:tcPr>
                <w:p w14:paraId="0C4FEF0F">
                  <w:pPr>
                    <w:pStyle w:val="38"/>
                  </w:pPr>
                  <w:r>
                    <w:rPr>
                      <w:rFonts w:hint="eastAsia"/>
                    </w:rPr>
                    <w:t>收集后委托环卫部门统一处理</w:t>
                  </w:r>
                </w:p>
              </w:tc>
            </w:tr>
          </w:tbl>
          <w:p w14:paraId="65D87159">
            <w:pPr>
              <w:spacing w:line="360" w:lineRule="auto"/>
              <w:ind w:firstLine="482" w:firstLineChars="200"/>
              <w:jc w:val="left"/>
              <w:rPr>
                <w:b/>
                <w:bCs/>
                <w:color w:val="000000"/>
                <w:sz w:val="24"/>
              </w:rPr>
            </w:pPr>
            <w:r>
              <w:rPr>
                <w:rFonts w:hint="eastAsia"/>
                <w:b/>
                <w:bCs/>
                <w:color w:val="000000"/>
                <w:sz w:val="24"/>
              </w:rPr>
              <w:t>（二）</w:t>
            </w:r>
            <w:r>
              <w:rPr>
                <w:b/>
                <w:bCs/>
                <w:color w:val="000000"/>
                <w:sz w:val="24"/>
              </w:rPr>
              <w:t>营运期：</w:t>
            </w:r>
          </w:p>
          <w:p w14:paraId="68E86495">
            <w:pPr>
              <w:pStyle w:val="36"/>
              <w:ind w:firstLine="482"/>
              <w:rPr>
                <w:rFonts w:hint="default"/>
                <w:b/>
                <w:bCs/>
              </w:rPr>
            </w:pPr>
            <w:r>
              <w:rPr>
                <w:b/>
                <w:bCs/>
              </w:rPr>
              <w:t>1、污水处理</w:t>
            </w:r>
          </w:p>
          <w:p w14:paraId="70AF96DC">
            <w:pPr>
              <w:pStyle w:val="36"/>
              <w:ind w:firstLine="480"/>
              <w:rPr>
                <w:rFonts w:hint="default"/>
              </w:rPr>
            </w:pPr>
            <w:r>
              <w:t>本项目采用具有脱氮除磷功能的污水处理工艺，采用的主要工艺方案如下：</w:t>
            </w:r>
          </w:p>
          <w:p w14:paraId="1AF64F6F">
            <w:pPr>
              <w:pStyle w:val="36"/>
              <w:ind w:firstLine="480"/>
              <w:rPr>
                <w:rFonts w:hint="default"/>
              </w:rPr>
            </w:pPr>
            <w:r>
              <w:drawing>
                <wp:inline distT="0" distB="0" distL="0" distR="0">
                  <wp:extent cx="107950" cy="111125"/>
                  <wp:effectExtent l="0" t="0" r="6350" b="3175"/>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7"/>
                          <a:stretch>
                            <a:fillRect/>
                          </a:stretch>
                        </pic:blipFill>
                        <pic:spPr>
                          <a:xfrm>
                            <a:off x="0" y="0"/>
                            <a:ext cx="108204" cy="111252"/>
                          </a:xfrm>
                          <a:prstGeom prst="rect">
                            <a:avLst/>
                          </a:prstGeom>
                        </pic:spPr>
                      </pic:pic>
                    </a:graphicData>
                  </a:graphic>
                </wp:inline>
              </w:drawing>
            </w:r>
            <w:r>
              <w:t>预处理：格栅</w:t>
            </w:r>
            <w:r>
              <w:rPr>
                <w:rFonts w:hint="eastAsia"/>
                <w:lang w:val="en-US" w:eastAsia="zh-CN"/>
              </w:rPr>
              <w:t>+调节池</w:t>
            </w:r>
            <w:r>
              <w:t>。</w:t>
            </w:r>
          </w:p>
          <w:p w14:paraId="2CAB54BA">
            <w:pPr>
              <w:pStyle w:val="36"/>
              <w:ind w:firstLine="480"/>
              <w:rPr>
                <w:rFonts w:hint="default"/>
              </w:rPr>
            </w:pPr>
            <w:r>
              <w:drawing>
                <wp:inline distT="0" distB="0" distL="0" distR="0">
                  <wp:extent cx="107950" cy="111125"/>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7"/>
                          <a:stretch>
                            <a:fillRect/>
                          </a:stretch>
                        </pic:blipFill>
                        <pic:spPr>
                          <a:xfrm>
                            <a:off x="0" y="0"/>
                            <a:ext cx="108204" cy="111252"/>
                          </a:xfrm>
                          <a:prstGeom prst="rect">
                            <a:avLst/>
                          </a:prstGeom>
                        </pic:spPr>
                      </pic:pic>
                    </a:graphicData>
                  </a:graphic>
                </wp:inline>
              </w:drawing>
            </w:r>
            <w:r>
              <w:t>二级处理：采用AAO生反池工艺+MBR膜分离工艺。</w:t>
            </w:r>
          </w:p>
          <w:p w14:paraId="3E5BF9C0">
            <w:pPr>
              <w:pStyle w:val="36"/>
              <w:ind w:firstLine="480"/>
              <w:rPr>
                <w:rFonts w:hint="default"/>
              </w:rPr>
            </w:pPr>
            <w:r>
              <w:drawing>
                <wp:inline distT="0" distB="0" distL="0" distR="0">
                  <wp:extent cx="107950" cy="11112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8"/>
                          <a:stretch>
                            <a:fillRect/>
                          </a:stretch>
                        </pic:blipFill>
                        <pic:spPr>
                          <a:xfrm>
                            <a:off x="0" y="0"/>
                            <a:ext cx="108204" cy="111251"/>
                          </a:xfrm>
                          <a:prstGeom prst="rect">
                            <a:avLst/>
                          </a:prstGeom>
                        </pic:spPr>
                      </pic:pic>
                    </a:graphicData>
                  </a:graphic>
                </wp:inline>
              </w:drawing>
            </w:r>
            <w:r>
              <w:t>污泥处理：</w:t>
            </w:r>
            <w:r>
              <w:rPr>
                <w:rFonts w:hint="eastAsia"/>
              </w:rPr>
              <w:t>剩余污泥</w:t>
            </w:r>
            <w:r>
              <w:rPr>
                <w:rFonts w:hint="eastAsia"/>
                <w:lang w:val="en-US" w:eastAsia="zh-CN"/>
              </w:rPr>
              <w:t>压滤脱水干化后外运</w:t>
            </w:r>
            <w:r>
              <w:t>。</w:t>
            </w:r>
          </w:p>
          <w:p w14:paraId="1EAF9F93">
            <w:pPr>
              <w:pStyle w:val="36"/>
              <w:ind w:firstLine="480"/>
              <w:rPr>
                <w:rFonts w:hint="default" w:eastAsia="宋体"/>
                <w:lang w:val="en-US" w:eastAsia="zh-CN"/>
              </w:rPr>
            </w:pPr>
            <w:r>
              <w:drawing>
                <wp:inline distT="0" distB="0" distL="0" distR="0">
                  <wp:extent cx="107950" cy="111125"/>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9"/>
                          <a:stretch>
                            <a:fillRect/>
                          </a:stretch>
                        </pic:blipFill>
                        <pic:spPr>
                          <a:xfrm>
                            <a:off x="0" y="0"/>
                            <a:ext cx="108204" cy="111251"/>
                          </a:xfrm>
                          <a:prstGeom prst="rect">
                            <a:avLst/>
                          </a:prstGeom>
                        </pic:spPr>
                      </pic:pic>
                    </a:graphicData>
                  </a:graphic>
                </wp:inline>
              </w:drawing>
            </w:r>
            <w:r>
              <w:t>消毒：采用</w:t>
            </w:r>
            <w:r>
              <w:rPr>
                <w:rFonts w:hint="eastAsia"/>
                <w:lang w:val="en-US" w:eastAsia="zh-CN"/>
              </w:rPr>
              <w:t>次氯酸钠消毒</w:t>
            </w:r>
          </w:p>
          <w:p w14:paraId="031E869D">
            <w:pPr>
              <w:pStyle w:val="36"/>
              <w:ind w:firstLine="480"/>
              <w:rPr>
                <w:rFonts w:hint="default"/>
              </w:rPr>
            </w:pPr>
            <w:r>
              <w:drawing>
                <wp:inline distT="0" distB="0" distL="0" distR="0">
                  <wp:extent cx="107950" cy="11112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9"/>
                          <a:stretch>
                            <a:fillRect/>
                          </a:stretch>
                        </pic:blipFill>
                        <pic:spPr>
                          <a:xfrm>
                            <a:off x="0" y="0"/>
                            <a:ext cx="108204" cy="111251"/>
                          </a:xfrm>
                          <a:prstGeom prst="rect">
                            <a:avLst/>
                          </a:prstGeom>
                        </pic:spPr>
                      </pic:pic>
                    </a:graphicData>
                  </a:graphic>
                </wp:inline>
              </w:drawing>
            </w:r>
            <w:r>
              <w:t>排放管：新建尾水排放管，尾水就近排放至杨梅溪作为生态补水。</w:t>
            </w:r>
          </w:p>
          <w:p w14:paraId="0A7B4E03">
            <w:pPr>
              <w:pStyle w:val="36"/>
              <w:ind w:firstLine="480"/>
              <w:rPr>
                <w:rFonts w:hint="default"/>
              </w:rPr>
            </w:pPr>
            <w:r>
              <w:drawing>
                <wp:inline distT="0" distB="0" distL="0" distR="0">
                  <wp:extent cx="107950" cy="111125"/>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9"/>
                          <a:stretch>
                            <a:fillRect/>
                          </a:stretch>
                        </pic:blipFill>
                        <pic:spPr>
                          <a:xfrm>
                            <a:off x="0" y="0"/>
                            <a:ext cx="108204" cy="111251"/>
                          </a:xfrm>
                          <a:prstGeom prst="rect">
                            <a:avLst/>
                          </a:prstGeom>
                        </pic:spPr>
                      </pic:pic>
                    </a:graphicData>
                  </a:graphic>
                </wp:inline>
              </w:drawing>
            </w:r>
            <w:r>
              <w:rPr>
                <w:highlight w:val="none"/>
              </w:rPr>
              <w:t>除臭：</w:t>
            </w:r>
            <w:r>
              <w:rPr>
                <w:rFonts w:hint="eastAsia"/>
                <w:highlight w:val="none"/>
                <w:lang w:val="en-US" w:eastAsia="zh-CN"/>
              </w:rPr>
              <w:t>项目主要构筑物均为密闭状态，</w:t>
            </w:r>
            <w:r>
              <w:rPr>
                <w:highlight w:val="none"/>
              </w:rPr>
              <w:t>末端除臭采用“</w:t>
            </w:r>
            <w:r>
              <w:rPr>
                <w:rFonts w:hint="eastAsia"/>
                <w:highlight w:val="none"/>
                <w:lang w:val="en-US" w:eastAsia="zh-CN"/>
              </w:rPr>
              <w:t>UV光氧光解催化</w:t>
            </w:r>
            <w:r>
              <w:rPr>
                <w:highlight w:val="none"/>
              </w:rPr>
              <w:t>”净化工艺。</w:t>
            </w:r>
          </w:p>
          <w:p w14:paraId="7652995E">
            <w:pPr>
              <w:pStyle w:val="36"/>
              <w:ind w:firstLine="480"/>
            </w:pPr>
            <w:r>
              <w:rPr>
                <w:rFonts w:hint="eastAsia"/>
                <w:lang w:val="en-US" w:eastAsia="zh-CN"/>
              </w:rPr>
              <w:t>项目</w:t>
            </w:r>
            <w:r>
              <w:t>污水处理工艺流程如下：</w:t>
            </w:r>
          </w:p>
          <w:p w14:paraId="78006A4C">
            <w:pPr>
              <w:pStyle w:val="38"/>
              <w:bidi w:val="0"/>
            </w:pPr>
            <w:r>
              <w:drawing>
                <wp:inline distT="0" distB="0" distL="114300" distR="114300">
                  <wp:extent cx="3912870" cy="5438775"/>
                  <wp:effectExtent l="0" t="0" r="1143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3912870" cy="5438775"/>
                          </a:xfrm>
                          <a:prstGeom prst="rect">
                            <a:avLst/>
                          </a:prstGeom>
                          <a:noFill/>
                          <a:ln>
                            <a:noFill/>
                          </a:ln>
                        </pic:spPr>
                      </pic:pic>
                    </a:graphicData>
                  </a:graphic>
                </wp:inline>
              </w:drawing>
            </w:r>
          </w:p>
          <w:p w14:paraId="68B04788">
            <w:pPr>
              <w:pStyle w:val="52"/>
            </w:pPr>
            <w:r>
              <w:rPr>
                <w:rFonts w:hint="eastAsia"/>
                <w:lang w:val="en-US" w:eastAsia="zh-CN"/>
              </w:rPr>
              <w:t>项目</w:t>
            </w:r>
            <w:r>
              <w:t>工艺流程图</w:t>
            </w:r>
          </w:p>
          <w:p w14:paraId="14772C2F">
            <w:pPr>
              <w:spacing w:line="360" w:lineRule="auto"/>
              <w:ind w:firstLine="482" w:firstLineChars="200"/>
              <w:rPr>
                <w:b/>
                <w:bCs/>
                <w:sz w:val="24"/>
              </w:rPr>
            </w:pPr>
            <w:r>
              <w:rPr>
                <w:b/>
                <w:bCs/>
                <w:sz w:val="24"/>
              </w:rPr>
              <w:t>主要工艺流程说明：</w:t>
            </w:r>
          </w:p>
          <w:p w14:paraId="7005C033">
            <w:pPr>
              <w:pStyle w:val="36"/>
              <w:ind w:firstLine="480"/>
            </w:pPr>
            <w:r>
              <w:t>（1）格栅：是常规预处理措施，不可或缺，除去污水中较大的颗粒状固体及纤维杂质，以防止其后的处理构筑物管道、水泵等设备堵塞。</w:t>
            </w:r>
          </w:p>
          <w:p w14:paraId="2E899B56">
            <w:pPr>
              <w:pStyle w:val="36"/>
              <w:ind w:firstLine="480"/>
              <w:rPr>
                <w:rFonts w:hint="eastAsia" w:eastAsia="宋体"/>
                <w:lang w:eastAsia="zh-CN"/>
              </w:rPr>
            </w:pPr>
            <w:r>
              <w:t>（2）</w:t>
            </w:r>
            <w:r>
              <w:rPr>
                <w:rFonts w:hint="eastAsia"/>
                <w:lang w:val="en-US" w:eastAsia="zh-CN"/>
              </w:rPr>
              <w:t>调节池</w:t>
            </w:r>
            <w:r>
              <w:t>：</w:t>
            </w:r>
            <w:r>
              <w:rPr>
                <w:rFonts w:hint="eastAsia"/>
              </w:rPr>
              <w:t>主要有调节水量、均衡水质和预处理三大作用</w:t>
            </w:r>
            <w:r>
              <w:t>。</w:t>
            </w:r>
            <w:r>
              <w:rPr>
                <w:rFonts w:hint="eastAsia"/>
              </w:rPr>
              <w:t>污水处理调节池是为了使管渠和构筑物正常工作，不受废水高峰流量或浓度变化的影响，需在废水处理设施之前设置的水池</w:t>
            </w:r>
            <w:r>
              <w:rPr>
                <w:rFonts w:hint="eastAsia"/>
                <w:lang w:eastAsia="zh-CN"/>
              </w:rPr>
              <w:t>。</w:t>
            </w:r>
          </w:p>
          <w:p w14:paraId="510063ED">
            <w:pPr>
              <w:pStyle w:val="36"/>
              <w:ind w:firstLine="480"/>
              <w:rPr>
                <w:rFonts w:hint="default"/>
              </w:rPr>
            </w:pPr>
            <w:r>
              <w:t>（3）A2/O：亦称A-A-O工艺，是英文Anaerobic-Anoxic-Oxic第一个字母的简称。本法是在70年代，由美国的一些专家在厌氧-好氧法脱氮工艺的基础上开发的，其宗旨是开发一项能够同步脱氮除磷的污水处理工艺，是传统活性污泥法的改进型。厌氧段原废水进入，同步进入的还有从沉淀池排出的含磷回流污泥，主要功能是释放磷；缺氧段的首要功能是脱氮，硝态氮是通过内循环由好氧段送来的，循环的混合液流量较大，一般为废水流量的2倍；好氧段（曝气池）单元是多功能的，去除BOD、硝化和吸收磷等各项反应均在本反应器内进行，混合液中含有NO3-N，污泥中含有过剩的磷，而废水中的BOD或COD则得到去除，流量为2Q的混合液从这里回流到缺氧段。</w:t>
            </w:r>
          </w:p>
          <w:p w14:paraId="5057F102">
            <w:pPr>
              <w:pStyle w:val="36"/>
              <w:ind w:firstLine="480"/>
              <w:rPr>
                <w:rFonts w:hint="default"/>
              </w:rPr>
            </w:pPr>
            <w:r>
              <w:t>该工艺是最简单的除磷脱氮工艺。但由于厌氧区居前，回流污泥全部进入厌氧池，会将硝酸盐和溶解氧带入厌氧池进行脱氮，污泥反硝化细菌在厌氧条件下以有机物为碳源进行反硝化，厌氧池起到了前置反硝化脱氮池的功能，也使得厌氧池磷释放的有效容积减少，影响除磷效果；缺氧区位于系统中部，反硝化在碳源分配上居于不利地位，因而影响了系统的脱氮效果；由于存在内循环，常规工艺系统所排放的剩余污泥中实际只有一少部分经历了完整</w:t>
            </w:r>
            <w:r>
              <w:rPr>
                <w:rFonts w:hint="eastAsia"/>
                <w:lang w:eastAsia="zh-CN"/>
              </w:rPr>
              <w:t>地放</w:t>
            </w:r>
            <w:r>
              <w:t>磷、吸磷过程，其余则基本上未经厌氧状态而直接由缺氧区进入好氧区，这对于系统除磷是不利的。因此该工艺很难取得脱氮、除磷双赢的效果。</w:t>
            </w:r>
          </w:p>
          <w:p w14:paraId="70DFB198">
            <w:pPr>
              <w:pStyle w:val="36"/>
              <w:ind w:firstLine="480"/>
              <w:rPr>
                <w:rFonts w:hint="default"/>
              </w:rPr>
            </w:pPr>
            <w:r>
              <w:t>（4）MBR工艺：是生化技术与膜技术结合的工艺，以膜分离替代传统的二沉池进行泥水分离。MBR工艺是处理厂生化处理部分的主体工艺，本工艺的生化处理部分结合“厌氧+缺氧+好氧”，提高了生化处理系统的处理效率，可以实现脱氮除磷的目的；另一方面工艺采用膜进行固液分离，污泥不会流失，泥龄长，许多在传统工艺中不会成为优势菌种的微生物在本工艺中出现，可去除许多传统工艺无法去除的污染物，促使生化反应更彻底。由于膜的孔径小，出水清澈，出水水质大大优于传统工艺。流程简单，操作管理方便，运行稳定。无大量的深度处理设施，设备间占地面积也较小。</w:t>
            </w:r>
          </w:p>
          <w:p w14:paraId="67CF002A">
            <w:pPr>
              <w:pStyle w:val="36"/>
              <w:ind w:firstLine="480"/>
              <w:rPr>
                <w:rFonts w:hint="default"/>
              </w:rPr>
            </w:pPr>
            <w:r>
              <w:t>（5）尾水消毒（次氯酸钠）：</w:t>
            </w:r>
            <w:r>
              <w:rPr>
                <w:rFonts w:hint="eastAsia"/>
              </w:rPr>
              <w:t>次氯酸钠消毒杀菌最主要的作用方式是通过它的水解作用形成次氯酸，次氯酸再进一步分解形成新生态氧[O]，新生态氧的极强氧化性使菌体和病毒的蛋白质变性，从而使病原微生物致死</w:t>
            </w:r>
            <w:r>
              <w:t>。</w:t>
            </w:r>
          </w:p>
          <w:p w14:paraId="5F8E98D0">
            <w:pPr>
              <w:pStyle w:val="36"/>
              <w:ind w:firstLine="480"/>
              <w:rPr>
                <w:rFonts w:hint="default"/>
              </w:rPr>
            </w:pPr>
            <w:r>
              <w:t>（6）污泥脱水：本项目采用</w:t>
            </w:r>
            <w:r>
              <w:rPr>
                <w:rFonts w:hint="eastAsia"/>
                <w:lang w:val="en-US" w:eastAsia="zh-CN"/>
              </w:rPr>
              <w:t>压滤机</w:t>
            </w:r>
            <w:r>
              <w:t>对污泥进行脱水，</w:t>
            </w:r>
            <w:r>
              <w:rPr>
                <w:rFonts w:hint="eastAsia"/>
              </w:rPr>
              <w:t>在密闭的状态下，由高压泵打入的污泥经过板框的挤压，使污泥内的水通过滤布排出，达到脱水目的。一般应用于污泥需高干脱水的污水处理</w:t>
            </w:r>
            <w:r>
              <w:rPr>
                <w:rFonts w:hint="eastAsia"/>
                <w:lang w:val="en-US" w:eastAsia="zh-CN"/>
              </w:rPr>
              <w:t>厂</w:t>
            </w:r>
            <w:r>
              <w:t>。</w:t>
            </w:r>
          </w:p>
          <w:p w14:paraId="519FE763">
            <w:pPr>
              <w:pStyle w:val="36"/>
              <w:ind w:firstLine="480"/>
              <w:rPr>
                <w:rFonts w:hint="default"/>
              </w:rPr>
            </w:pPr>
            <w:r>
              <w:rPr>
                <w:rFonts w:hint="default"/>
              </w:rPr>
              <w:t>根据对污水处理厂运行过程中的污染因素进行分析，其污染物主要为各处理工艺产生的废气、废水、固废以及设备运行噪声。污水处理厂营运期主要排污节点</w:t>
            </w:r>
            <w:r>
              <w:t>见</w:t>
            </w:r>
            <w:r>
              <w:rPr>
                <w:rFonts w:hint="default"/>
              </w:rPr>
              <w:fldChar w:fldCharType="begin"/>
            </w:r>
            <w:r>
              <w:rPr>
                <w:rFonts w:hint="default"/>
              </w:rPr>
              <w:instrText xml:space="preserve"> REF _Ref27205 \n \h </w:instrText>
            </w:r>
            <w:r>
              <w:rPr>
                <w:rFonts w:hint="default"/>
              </w:rPr>
              <w:fldChar w:fldCharType="separate"/>
            </w:r>
            <w:r>
              <w:rPr>
                <w:rFonts w:hint="default"/>
              </w:rPr>
              <w:t>表2-14</w:t>
            </w:r>
            <w:r>
              <w:rPr>
                <w:rFonts w:hint="default"/>
              </w:rPr>
              <w:fldChar w:fldCharType="end"/>
            </w:r>
            <w:r>
              <w:rPr>
                <w:rFonts w:hint="default"/>
              </w:rPr>
              <w:t>。</w:t>
            </w:r>
          </w:p>
          <w:p w14:paraId="3ABB07F8">
            <w:pPr>
              <w:pStyle w:val="36"/>
              <w:ind w:firstLine="480"/>
              <w:rPr>
                <w:rFonts w:hint="default"/>
              </w:rPr>
            </w:pPr>
          </w:p>
          <w:p w14:paraId="15FBA89A">
            <w:pPr>
              <w:pStyle w:val="36"/>
              <w:ind w:firstLine="480"/>
              <w:rPr>
                <w:rFonts w:hint="default"/>
              </w:rPr>
            </w:pPr>
          </w:p>
          <w:p w14:paraId="4F365869">
            <w:pPr>
              <w:pStyle w:val="52"/>
            </w:pPr>
            <w:bookmarkStart w:id="21" w:name="_Ref27205"/>
            <w:r>
              <w:t>项目主要排污节点一览表</w:t>
            </w:r>
            <w:bookmarkEnd w:id="21"/>
          </w:p>
          <w:tbl>
            <w:tblPr>
              <w:tblStyle w:val="28"/>
              <w:tblW w:w="4997"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92"/>
              <w:gridCol w:w="1457"/>
              <w:gridCol w:w="1170"/>
              <w:gridCol w:w="1867"/>
              <w:gridCol w:w="979"/>
              <w:gridCol w:w="2392"/>
            </w:tblGrid>
            <w:tr w14:paraId="6A0FF5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tcBorders>
                    <w:tl2br w:val="nil"/>
                    <w:tr2bl w:val="nil"/>
                  </w:tcBorders>
                  <w:vAlign w:val="center"/>
                </w:tcPr>
                <w:p w14:paraId="538F87AC">
                  <w:pPr>
                    <w:pStyle w:val="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种类</w:t>
                  </w:r>
                </w:p>
              </w:tc>
              <w:tc>
                <w:tcPr>
                  <w:tcW w:w="851" w:type="pct"/>
                  <w:tcBorders>
                    <w:tl2br w:val="nil"/>
                    <w:tr2bl w:val="nil"/>
                  </w:tcBorders>
                  <w:vAlign w:val="center"/>
                </w:tcPr>
                <w:p w14:paraId="26521916">
                  <w:pPr>
                    <w:pStyle w:val="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污染源名称</w:t>
                  </w:r>
                </w:p>
              </w:tc>
              <w:tc>
                <w:tcPr>
                  <w:tcW w:w="683" w:type="pct"/>
                  <w:tcBorders>
                    <w:tl2br w:val="nil"/>
                    <w:tr2bl w:val="nil"/>
                  </w:tcBorders>
                  <w:vAlign w:val="center"/>
                </w:tcPr>
                <w:p w14:paraId="563A22F0">
                  <w:pPr>
                    <w:pStyle w:val="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w:t>
                  </w:r>
                </w:p>
              </w:tc>
              <w:tc>
                <w:tcPr>
                  <w:tcW w:w="1090" w:type="pct"/>
                  <w:tcBorders>
                    <w:tl2br w:val="nil"/>
                    <w:tr2bl w:val="nil"/>
                  </w:tcBorders>
                  <w:vAlign w:val="center"/>
                </w:tcPr>
                <w:p w14:paraId="5F22117F">
                  <w:pPr>
                    <w:pStyle w:val="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主要污染物</w:t>
                  </w:r>
                </w:p>
              </w:tc>
              <w:tc>
                <w:tcPr>
                  <w:tcW w:w="572" w:type="pct"/>
                  <w:tcBorders>
                    <w:tl2br w:val="nil"/>
                    <w:tr2bl w:val="nil"/>
                  </w:tcBorders>
                  <w:vAlign w:val="center"/>
                </w:tcPr>
                <w:p w14:paraId="35A01C57">
                  <w:pPr>
                    <w:pStyle w:val="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排放特征</w:t>
                  </w:r>
                </w:p>
              </w:tc>
              <w:tc>
                <w:tcPr>
                  <w:tcW w:w="1397" w:type="pct"/>
                  <w:tcBorders>
                    <w:tl2br w:val="nil"/>
                    <w:tr2bl w:val="nil"/>
                  </w:tcBorders>
                  <w:vAlign w:val="center"/>
                </w:tcPr>
                <w:p w14:paraId="6479185D">
                  <w:pPr>
                    <w:pStyle w:val="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治理措施及排放去向</w:t>
                  </w:r>
                </w:p>
              </w:tc>
            </w:tr>
            <w:tr w14:paraId="41D623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restart"/>
                  <w:tcBorders>
                    <w:tl2br w:val="nil"/>
                    <w:tr2bl w:val="nil"/>
                  </w:tcBorders>
                  <w:vAlign w:val="center"/>
                </w:tcPr>
                <w:p w14:paraId="33A0ADE5">
                  <w:pPr>
                    <w:pStyle w:val="6"/>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851" w:type="pct"/>
                  <w:vMerge w:val="restart"/>
                  <w:tcBorders>
                    <w:tl2br w:val="nil"/>
                    <w:tr2bl w:val="nil"/>
                  </w:tcBorders>
                  <w:vAlign w:val="center"/>
                </w:tcPr>
                <w:p w14:paraId="2933CC9C">
                  <w:pPr>
                    <w:pStyle w:val="6"/>
                    <w:spacing w:before="24" w:beforeLines="10" w:after="24" w:afterLines="10"/>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预处理区（进水区、格栅、</w:t>
                  </w:r>
                  <w:r>
                    <w:rPr>
                      <w:rFonts w:hint="eastAsia"/>
                      <w:color w:val="000000" w:themeColor="text1"/>
                      <w:szCs w:val="21"/>
                      <w:lang w:val="en-US" w:eastAsia="zh-CN"/>
                      <w14:textFill>
                        <w14:solidFill>
                          <w14:schemeClr w14:val="tx1"/>
                        </w14:solidFill>
                      </w14:textFill>
                    </w:rPr>
                    <w:t>调节池</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一体化</w:t>
                  </w:r>
                  <w:r>
                    <w:rPr>
                      <w:color w:val="000000" w:themeColor="text1"/>
                      <w:szCs w:val="21"/>
                      <w14:textFill>
                        <w14:solidFill>
                          <w14:schemeClr w14:val="tx1"/>
                        </w14:solidFill>
                      </w14:textFill>
                    </w:rPr>
                    <w:t>生反池、污泥储池、污泥脱水</w:t>
                  </w:r>
                  <w:r>
                    <w:rPr>
                      <w:rFonts w:hint="eastAsia"/>
                      <w:color w:val="000000" w:themeColor="text1"/>
                      <w:szCs w:val="21"/>
                      <w:lang w:val="en-US" w:eastAsia="zh-CN"/>
                      <w14:textFill>
                        <w14:solidFill>
                          <w14:schemeClr w14:val="tx1"/>
                        </w14:solidFill>
                      </w14:textFill>
                    </w:rPr>
                    <w:t>区</w:t>
                  </w:r>
                </w:p>
              </w:tc>
              <w:tc>
                <w:tcPr>
                  <w:tcW w:w="683" w:type="pct"/>
                  <w:tcBorders>
                    <w:tl2br w:val="nil"/>
                    <w:tr2bl w:val="nil"/>
                  </w:tcBorders>
                  <w:vAlign w:val="center"/>
                </w:tcPr>
                <w:p w14:paraId="1F829357">
                  <w:pPr>
                    <w:pStyle w:val="6"/>
                    <w:spacing w:before="24" w:beforeLines="10" w:after="24" w:afterLines="10"/>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格栅</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调节池</w:t>
                  </w:r>
                </w:p>
              </w:tc>
              <w:tc>
                <w:tcPr>
                  <w:tcW w:w="1090" w:type="pct"/>
                  <w:tcBorders>
                    <w:tl2br w:val="nil"/>
                    <w:tr2bl w:val="nil"/>
                  </w:tcBorders>
                  <w:vAlign w:val="center"/>
                </w:tcPr>
                <w:p w14:paraId="33A15AC9">
                  <w:pPr>
                    <w:pStyle w:val="6"/>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氨、硫化氢、臭气浓度</w:t>
                  </w:r>
                </w:p>
              </w:tc>
              <w:tc>
                <w:tcPr>
                  <w:tcW w:w="572" w:type="pct"/>
                  <w:tcBorders>
                    <w:tl2br w:val="nil"/>
                    <w:tr2bl w:val="nil"/>
                  </w:tcBorders>
                  <w:vAlign w:val="center"/>
                </w:tcPr>
                <w:p w14:paraId="5CEB2CE5">
                  <w:pPr>
                    <w:pStyle w:val="6"/>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397" w:type="pct"/>
                  <w:vMerge w:val="restart"/>
                  <w:tcBorders>
                    <w:tl2br w:val="nil"/>
                    <w:tr2bl w:val="nil"/>
                  </w:tcBorders>
                  <w:vAlign w:val="center"/>
                </w:tcPr>
                <w:p w14:paraId="31FF16CF">
                  <w:pPr>
                    <w:pStyle w:val="6"/>
                    <w:spacing w:before="24" w:beforeLines="10" w:after="24" w:afterLines="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预处理区（进水区、格栅、调节池）、一体化生反池、污泥储池、污泥脱水</w:t>
                  </w:r>
                  <w:r>
                    <w:rPr>
                      <w:rFonts w:hint="eastAsia"/>
                      <w:color w:val="000000" w:themeColor="text1"/>
                      <w:szCs w:val="21"/>
                      <w:lang w:val="en-US" w:eastAsia="zh-CN"/>
                      <w14:textFill>
                        <w14:solidFill>
                          <w14:schemeClr w14:val="tx1"/>
                        </w14:solidFill>
                      </w14:textFill>
                    </w:rPr>
                    <w:t>区</w:t>
                  </w:r>
                  <w:r>
                    <w:rPr>
                      <w:rFonts w:hint="eastAsia"/>
                      <w:color w:val="000000" w:themeColor="text1"/>
                      <w:szCs w:val="21"/>
                      <w14:textFill>
                        <w14:solidFill>
                          <w14:schemeClr w14:val="tx1"/>
                        </w14:solidFill>
                      </w14:textFill>
                    </w:rPr>
                    <w:t>收集臭气，收集后臭气采用“</w:t>
                  </w:r>
                  <w:r>
                    <w:rPr>
                      <w:rFonts w:hint="eastAsia"/>
                      <w:color w:val="000000" w:themeColor="text1"/>
                      <w:szCs w:val="21"/>
                      <w:lang w:eastAsia="zh-CN"/>
                      <w14:textFill>
                        <w14:solidFill>
                          <w14:schemeClr w14:val="tx1"/>
                        </w14:solidFill>
                      </w14:textFill>
                    </w:rPr>
                    <w:t>UV光氧光解催化</w:t>
                  </w:r>
                  <w:r>
                    <w:rPr>
                      <w:rFonts w:hint="eastAsia"/>
                      <w:color w:val="000000" w:themeColor="text1"/>
                      <w:szCs w:val="21"/>
                      <w14:textFill>
                        <w14:solidFill>
                          <w14:schemeClr w14:val="tx1"/>
                        </w14:solidFill>
                      </w14:textFill>
                    </w:rPr>
                    <w:t>”净化工艺</w:t>
                  </w:r>
                  <w:r>
                    <w:rPr>
                      <w:color w:val="000000" w:themeColor="text1"/>
                      <w:szCs w:val="21"/>
                      <w14:textFill>
                        <w14:solidFill>
                          <w14:schemeClr w14:val="tx1"/>
                        </w14:solidFill>
                      </w14:textFill>
                    </w:rPr>
                    <w:t>进行除臭</w:t>
                  </w:r>
                </w:p>
              </w:tc>
            </w:tr>
            <w:tr w14:paraId="1263F56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continue"/>
                  <w:tcBorders>
                    <w:tl2br w:val="nil"/>
                    <w:tr2bl w:val="nil"/>
                  </w:tcBorders>
                  <w:vAlign w:val="center"/>
                </w:tcPr>
                <w:p w14:paraId="7D96E5E4">
                  <w:pPr>
                    <w:pStyle w:val="6"/>
                    <w:rPr>
                      <w:color w:val="000000" w:themeColor="text1"/>
                      <w:szCs w:val="21"/>
                      <w14:textFill>
                        <w14:solidFill>
                          <w14:schemeClr w14:val="tx1"/>
                        </w14:solidFill>
                      </w14:textFill>
                    </w:rPr>
                  </w:pPr>
                </w:p>
              </w:tc>
              <w:tc>
                <w:tcPr>
                  <w:tcW w:w="851" w:type="pct"/>
                  <w:vMerge w:val="continue"/>
                  <w:tcBorders>
                    <w:tl2br w:val="nil"/>
                    <w:tr2bl w:val="nil"/>
                  </w:tcBorders>
                  <w:vAlign w:val="center"/>
                </w:tcPr>
                <w:p w14:paraId="1654F44E">
                  <w:pPr>
                    <w:pStyle w:val="6"/>
                    <w:rPr>
                      <w:color w:val="000000" w:themeColor="text1"/>
                      <w:szCs w:val="21"/>
                      <w14:textFill>
                        <w14:solidFill>
                          <w14:schemeClr w14:val="tx1"/>
                        </w14:solidFill>
                      </w14:textFill>
                    </w:rPr>
                  </w:pPr>
                </w:p>
              </w:tc>
              <w:tc>
                <w:tcPr>
                  <w:tcW w:w="683" w:type="pct"/>
                  <w:tcBorders>
                    <w:tl2br w:val="nil"/>
                    <w:tr2bl w:val="nil"/>
                  </w:tcBorders>
                  <w:vAlign w:val="center"/>
                </w:tcPr>
                <w:p w14:paraId="4796804D">
                  <w:pPr>
                    <w:pStyle w:val="6"/>
                    <w:spacing w:before="24" w:beforeLines="10" w:after="24" w:afterLines="1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一体化</w:t>
                  </w:r>
                  <w:r>
                    <w:rPr>
                      <w:color w:val="000000" w:themeColor="text1"/>
                      <w:szCs w:val="21"/>
                      <w14:textFill>
                        <w14:solidFill>
                          <w14:schemeClr w14:val="tx1"/>
                        </w14:solidFill>
                      </w14:textFill>
                    </w:rPr>
                    <w:t>生物反应池</w:t>
                  </w:r>
                </w:p>
              </w:tc>
              <w:tc>
                <w:tcPr>
                  <w:tcW w:w="1090" w:type="pct"/>
                  <w:tcBorders>
                    <w:tl2br w:val="nil"/>
                    <w:tr2bl w:val="nil"/>
                  </w:tcBorders>
                  <w:vAlign w:val="center"/>
                </w:tcPr>
                <w:p w14:paraId="76D14F61">
                  <w:pPr>
                    <w:pStyle w:val="6"/>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氨、硫化氢、臭气浓度</w:t>
                  </w:r>
                </w:p>
              </w:tc>
              <w:tc>
                <w:tcPr>
                  <w:tcW w:w="572" w:type="pct"/>
                  <w:tcBorders>
                    <w:tl2br w:val="nil"/>
                    <w:tr2bl w:val="nil"/>
                  </w:tcBorders>
                  <w:vAlign w:val="center"/>
                </w:tcPr>
                <w:p w14:paraId="7E20AAC9">
                  <w:pPr>
                    <w:pStyle w:val="6"/>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r>
                    <w:rPr>
                      <w:rFonts w:hint="eastAsia"/>
                      <w:color w:val="000000" w:themeColor="text1"/>
                      <w:szCs w:val="21"/>
                      <w14:textFill>
                        <w14:solidFill>
                          <w14:schemeClr w14:val="tx1"/>
                        </w14:solidFill>
                      </w14:textFill>
                    </w:rPr>
                    <w:t xml:space="preserve"> </w:t>
                  </w:r>
                </w:p>
              </w:tc>
              <w:tc>
                <w:tcPr>
                  <w:tcW w:w="1397" w:type="pct"/>
                  <w:vMerge w:val="continue"/>
                  <w:tcBorders>
                    <w:tl2br w:val="nil"/>
                    <w:tr2bl w:val="nil"/>
                  </w:tcBorders>
                  <w:vAlign w:val="center"/>
                </w:tcPr>
                <w:p w14:paraId="3B3D89AA">
                  <w:pPr>
                    <w:pStyle w:val="6"/>
                    <w:rPr>
                      <w:color w:val="000000" w:themeColor="text1"/>
                      <w:szCs w:val="21"/>
                      <w14:textFill>
                        <w14:solidFill>
                          <w14:schemeClr w14:val="tx1"/>
                        </w14:solidFill>
                      </w14:textFill>
                    </w:rPr>
                  </w:pPr>
                </w:p>
              </w:tc>
            </w:tr>
            <w:tr w14:paraId="7437B4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continue"/>
                  <w:tcBorders>
                    <w:tl2br w:val="nil"/>
                    <w:tr2bl w:val="nil"/>
                  </w:tcBorders>
                  <w:vAlign w:val="center"/>
                </w:tcPr>
                <w:p w14:paraId="2C69C81D">
                  <w:pPr>
                    <w:pStyle w:val="6"/>
                    <w:rPr>
                      <w:color w:val="000000" w:themeColor="text1"/>
                      <w:szCs w:val="21"/>
                      <w14:textFill>
                        <w14:solidFill>
                          <w14:schemeClr w14:val="tx1"/>
                        </w14:solidFill>
                      </w14:textFill>
                    </w:rPr>
                  </w:pPr>
                </w:p>
              </w:tc>
              <w:tc>
                <w:tcPr>
                  <w:tcW w:w="851" w:type="pct"/>
                  <w:vMerge w:val="continue"/>
                  <w:tcBorders>
                    <w:tl2br w:val="nil"/>
                    <w:tr2bl w:val="nil"/>
                  </w:tcBorders>
                  <w:vAlign w:val="center"/>
                </w:tcPr>
                <w:p w14:paraId="7D68E5A2">
                  <w:pPr>
                    <w:pStyle w:val="6"/>
                    <w:rPr>
                      <w:color w:val="000000" w:themeColor="text1"/>
                      <w:szCs w:val="21"/>
                      <w14:textFill>
                        <w14:solidFill>
                          <w14:schemeClr w14:val="tx1"/>
                        </w14:solidFill>
                      </w14:textFill>
                    </w:rPr>
                  </w:pPr>
                </w:p>
              </w:tc>
              <w:tc>
                <w:tcPr>
                  <w:tcW w:w="683" w:type="pct"/>
                  <w:tcBorders>
                    <w:tl2br w:val="nil"/>
                    <w:tr2bl w:val="nil"/>
                  </w:tcBorders>
                  <w:vAlign w:val="center"/>
                </w:tcPr>
                <w:p w14:paraId="7A829174">
                  <w:pPr>
                    <w:pStyle w:val="6"/>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污泥储池</w:t>
                  </w:r>
                </w:p>
              </w:tc>
              <w:tc>
                <w:tcPr>
                  <w:tcW w:w="1090" w:type="pct"/>
                  <w:tcBorders>
                    <w:tl2br w:val="nil"/>
                    <w:tr2bl w:val="nil"/>
                  </w:tcBorders>
                  <w:vAlign w:val="center"/>
                </w:tcPr>
                <w:p w14:paraId="197FDDB5">
                  <w:pPr>
                    <w:pStyle w:val="6"/>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氨、硫化氢、臭气浓度</w:t>
                  </w:r>
                </w:p>
              </w:tc>
              <w:tc>
                <w:tcPr>
                  <w:tcW w:w="572" w:type="pct"/>
                  <w:tcBorders>
                    <w:tl2br w:val="nil"/>
                    <w:tr2bl w:val="nil"/>
                  </w:tcBorders>
                  <w:vAlign w:val="center"/>
                </w:tcPr>
                <w:p w14:paraId="25E6F8D0">
                  <w:pPr>
                    <w:pStyle w:val="6"/>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397" w:type="pct"/>
                  <w:vMerge w:val="continue"/>
                  <w:tcBorders>
                    <w:tl2br w:val="nil"/>
                    <w:tr2bl w:val="nil"/>
                  </w:tcBorders>
                  <w:vAlign w:val="center"/>
                </w:tcPr>
                <w:p w14:paraId="7F9C1649">
                  <w:pPr>
                    <w:pStyle w:val="6"/>
                    <w:rPr>
                      <w:color w:val="000000" w:themeColor="text1"/>
                      <w:szCs w:val="21"/>
                      <w14:textFill>
                        <w14:solidFill>
                          <w14:schemeClr w14:val="tx1"/>
                        </w14:solidFill>
                      </w14:textFill>
                    </w:rPr>
                  </w:pPr>
                </w:p>
              </w:tc>
            </w:tr>
            <w:tr w14:paraId="4C5315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continue"/>
                  <w:tcBorders>
                    <w:tl2br w:val="nil"/>
                    <w:tr2bl w:val="nil"/>
                  </w:tcBorders>
                  <w:vAlign w:val="center"/>
                </w:tcPr>
                <w:p w14:paraId="58E31A7B">
                  <w:pPr>
                    <w:pStyle w:val="6"/>
                    <w:rPr>
                      <w:color w:val="000000" w:themeColor="text1"/>
                      <w:szCs w:val="21"/>
                      <w14:textFill>
                        <w14:solidFill>
                          <w14:schemeClr w14:val="tx1"/>
                        </w14:solidFill>
                      </w14:textFill>
                    </w:rPr>
                  </w:pPr>
                </w:p>
              </w:tc>
              <w:tc>
                <w:tcPr>
                  <w:tcW w:w="851" w:type="pct"/>
                  <w:vMerge w:val="continue"/>
                  <w:tcBorders>
                    <w:tl2br w:val="nil"/>
                    <w:tr2bl w:val="nil"/>
                  </w:tcBorders>
                  <w:vAlign w:val="center"/>
                </w:tcPr>
                <w:p w14:paraId="02D8E24F">
                  <w:pPr>
                    <w:pStyle w:val="6"/>
                    <w:rPr>
                      <w:color w:val="000000" w:themeColor="text1"/>
                      <w:szCs w:val="21"/>
                      <w14:textFill>
                        <w14:solidFill>
                          <w14:schemeClr w14:val="tx1"/>
                        </w14:solidFill>
                      </w14:textFill>
                    </w:rPr>
                  </w:pPr>
                </w:p>
              </w:tc>
              <w:tc>
                <w:tcPr>
                  <w:tcW w:w="683" w:type="pct"/>
                  <w:tcBorders>
                    <w:tl2br w:val="nil"/>
                    <w:tr2bl w:val="nil"/>
                  </w:tcBorders>
                  <w:vAlign w:val="center"/>
                </w:tcPr>
                <w:p w14:paraId="25CFA23D">
                  <w:pPr>
                    <w:pStyle w:val="6"/>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污泥脱水</w:t>
                  </w:r>
                </w:p>
              </w:tc>
              <w:tc>
                <w:tcPr>
                  <w:tcW w:w="1090" w:type="pct"/>
                  <w:tcBorders>
                    <w:tl2br w:val="nil"/>
                    <w:tr2bl w:val="nil"/>
                  </w:tcBorders>
                  <w:vAlign w:val="center"/>
                </w:tcPr>
                <w:p w14:paraId="5D990A8B">
                  <w:pPr>
                    <w:pStyle w:val="6"/>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氨、硫化氢、臭气浓度</w:t>
                  </w:r>
                </w:p>
              </w:tc>
              <w:tc>
                <w:tcPr>
                  <w:tcW w:w="572" w:type="pct"/>
                  <w:tcBorders>
                    <w:tl2br w:val="nil"/>
                    <w:tr2bl w:val="nil"/>
                  </w:tcBorders>
                  <w:vAlign w:val="center"/>
                </w:tcPr>
                <w:p w14:paraId="460B0CE5">
                  <w:pPr>
                    <w:pStyle w:val="6"/>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397" w:type="pct"/>
                  <w:vMerge w:val="continue"/>
                  <w:tcBorders>
                    <w:tl2br w:val="nil"/>
                    <w:tr2bl w:val="nil"/>
                  </w:tcBorders>
                  <w:vAlign w:val="center"/>
                </w:tcPr>
                <w:p w14:paraId="012F1514">
                  <w:pPr>
                    <w:pStyle w:val="6"/>
                    <w:rPr>
                      <w:color w:val="000000" w:themeColor="text1"/>
                      <w:szCs w:val="21"/>
                      <w14:textFill>
                        <w14:solidFill>
                          <w14:schemeClr w14:val="tx1"/>
                        </w14:solidFill>
                      </w14:textFill>
                    </w:rPr>
                  </w:pPr>
                </w:p>
              </w:tc>
            </w:tr>
            <w:tr w14:paraId="0BF481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restart"/>
                  <w:tcBorders>
                    <w:tl2br w:val="nil"/>
                    <w:tr2bl w:val="nil"/>
                  </w:tcBorders>
                  <w:vAlign w:val="center"/>
                </w:tcPr>
                <w:p w14:paraId="7014D96B">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851" w:type="pct"/>
                  <w:tcBorders>
                    <w:tl2br w:val="nil"/>
                    <w:tr2bl w:val="nil"/>
                  </w:tcBorders>
                  <w:vAlign w:val="center"/>
                </w:tcPr>
                <w:p w14:paraId="5137B9B6">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员工生活用水</w:t>
                  </w:r>
                </w:p>
              </w:tc>
              <w:tc>
                <w:tcPr>
                  <w:tcW w:w="683" w:type="pct"/>
                  <w:tcBorders>
                    <w:tl2br w:val="nil"/>
                    <w:tr2bl w:val="nil"/>
                  </w:tcBorders>
                  <w:vAlign w:val="center"/>
                </w:tcPr>
                <w:p w14:paraId="46BE45AB">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员工办公生活</w:t>
                  </w:r>
                </w:p>
              </w:tc>
              <w:tc>
                <w:tcPr>
                  <w:tcW w:w="1090" w:type="pct"/>
                  <w:tcBorders>
                    <w:tl2br w:val="nil"/>
                    <w:tr2bl w:val="nil"/>
                  </w:tcBorders>
                  <w:vAlign w:val="center"/>
                </w:tcPr>
                <w:p w14:paraId="5D648AD6">
                  <w:pPr>
                    <w:pStyle w:val="6"/>
                    <w:rPr>
                      <w:color w:val="000000" w:themeColor="text1"/>
                      <w:szCs w:val="21"/>
                      <w14:textFill>
                        <w14:solidFill>
                          <w14:schemeClr w14:val="tx1"/>
                        </w14:solidFill>
                      </w14:textFill>
                    </w:rPr>
                  </w:pPr>
                  <w:r>
                    <w:rPr>
                      <w:rFonts w:hint="default"/>
                    </w:rPr>
                    <w:t>COD</w:t>
                  </w:r>
                  <w:r>
                    <w:rPr>
                      <w:rFonts w:hint="default"/>
                      <w:vertAlign w:val="subscript"/>
                    </w:rPr>
                    <w:t>Cr</w:t>
                  </w:r>
                  <w:r>
                    <w:rPr>
                      <w:color w:val="000000" w:themeColor="text1"/>
                      <w:szCs w:val="21"/>
                      <w14:textFill>
                        <w14:solidFill>
                          <w14:schemeClr w14:val="tx1"/>
                        </w14:solidFill>
                      </w14:textFill>
                    </w:rPr>
                    <w:t>、</w:t>
                  </w:r>
                  <w:r>
                    <w:rPr>
                      <w:rFonts w:hint="default"/>
                    </w:rPr>
                    <w:t>BOD</w:t>
                  </w:r>
                  <w:r>
                    <w:rPr>
                      <w:rFonts w:hint="default"/>
                      <w:vertAlign w:val="subscript"/>
                    </w:rPr>
                    <w:t>5</w:t>
                  </w:r>
                  <w:r>
                    <w:rPr>
                      <w:color w:val="000000" w:themeColor="text1"/>
                      <w:szCs w:val="21"/>
                      <w14:textFill>
                        <w14:solidFill>
                          <w14:schemeClr w14:val="tx1"/>
                        </w14:solidFill>
                      </w14:textFill>
                    </w:rPr>
                    <w:t>、氨氮、SS等</w:t>
                  </w:r>
                </w:p>
              </w:tc>
              <w:tc>
                <w:tcPr>
                  <w:tcW w:w="572" w:type="pct"/>
                  <w:tcBorders>
                    <w:tl2br w:val="nil"/>
                    <w:tr2bl w:val="nil"/>
                  </w:tcBorders>
                  <w:vAlign w:val="center"/>
                </w:tcPr>
                <w:p w14:paraId="0545B920">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397" w:type="pct"/>
                  <w:vMerge w:val="restart"/>
                  <w:tcBorders>
                    <w:tl2br w:val="nil"/>
                    <w:tr2bl w:val="nil"/>
                  </w:tcBorders>
                  <w:vAlign w:val="center"/>
                </w:tcPr>
                <w:p w14:paraId="40B4C003">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排入项目污水处理系统处理</w:t>
                  </w:r>
                </w:p>
              </w:tc>
            </w:tr>
            <w:tr w14:paraId="68D2ED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continue"/>
                  <w:tcBorders>
                    <w:tl2br w:val="nil"/>
                    <w:tr2bl w:val="nil"/>
                  </w:tcBorders>
                  <w:vAlign w:val="center"/>
                </w:tcPr>
                <w:p w14:paraId="38B8FEF2">
                  <w:pPr>
                    <w:pStyle w:val="6"/>
                    <w:rPr>
                      <w:color w:val="000000" w:themeColor="text1"/>
                      <w:szCs w:val="21"/>
                      <w14:textFill>
                        <w14:solidFill>
                          <w14:schemeClr w14:val="tx1"/>
                        </w14:solidFill>
                      </w14:textFill>
                    </w:rPr>
                  </w:pPr>
                </w:p>
              </w:tc>
              <w:tc>
                <w:tcPr>
                  <w:tcW w:w="851" w:type="pct"/>
                  <w:tcBorders>
                    <w:tl2br w:val="nil"/>
                    <w:tr2bl w:val="nil"/>
                  </w:tcBorders>
                  <w:vAlign w:val="center"/>
                </w:tcPr>
                <w:p w14:paraId="6C9E2727">
                  <w:pPr>
                    <w:pStyle w:val="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w:t>
                  </w:r>
                  <w:r>
                    <w:rPr>
                      <w:color w:val="000000" w:themeColor="text1"/>
                      <w:szCs w:val="21"/>
                      <w14:textFill>
                        <w14:solidFill>
                          <w14:schemeClr w14:val="tx1"/>
                        </w14:solidFill>
                      </w14:textFill>
                    </w:rPr>
                    <w:t>冲洗废水</w:t>
                  </w:r>
                </w:p>
              </w:tc>
              <w:tc>
                <w:tcPr>
                  <w:tcW w:w="683" w:type="pct"/>
                  <w:tcBorders>
                    <w:tl2br w:val="nil"/>
                    <w:tr2bl w:val="nil"/>
                  </w:tcBorders>
                  <w:vAlign w:val="center"/>
                </w:tcPr>
                <w:p w14:paraId="0C3220F9">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污泥池冲洗</w:t>
                  </w:r>
                </w:p>
              </w:tc>
              <w:tc>
                <w:tcPr>
                  <w:tcW w:w="1090" w:type="pct"/>
                  <w:tcBorders>
                    <w:tl2br w:val="nil"/>
                    <w:tr2bl w:val="nil"/>
                  </w:tcBorders>
                  <w:vAlign w:val="center"/>
                </w:tcPr>
                <w:p w14:paraId="2AB32AED">
                  <w:pPr>
                    <w:pStyle w:val="6"/>
                    <w:rPr>
                      <w:color w:val="000000" w:themeColor="text1"/>
                      <w:szCs w:val="21"/>
                      <w14:textFill>
                        <w14:solidFill>
                          <w14:schemeClr w14:val="tx1"/>
                        </w14:solidFill>
                      </w14:textFill>
                    </w:rPr>
                  </w:pPr>
                  <w:r>
                    <w:rPr>
                      <w:rFonts w:hint="default"/>
                    </w:rPr>
                    <w:t>COD</w:t>
                  </w:r>
                  <w:r>
                    <w:rPr>
                      <w:rFonts w:hint="default"/>
                      <w:vertAlign w:val="subscript"/>
                    </w:rPr>
                    <w:t>Cr</w:t>
                  </w:r>
                  <w:r>
                    <w:rPr>
                      <w:color w:val="000000" w:themeColor="text1"/>
                      <w:szCs w:val="21"/>
                      <w14:textFill>
                        <w14:solidFill>
                          <w14:schemeClr w14:val="tx1"/>
                        </w14:solidFill>
                      </w14:textFill>
                    </w:rPr>
                    <w:t>、氨氮、SS等</w:t>
                  </w:r>
                </w:p>
              </w:tc>
              <w:tc>
                <w:tcPr>
                  <w:tcW w:w="572" w:type="pct"/>
                  <w:tcBorders>
                    <w:tl2br w:val="nil"/>
                    <w:tr2bl w:val="nil"/>
                  </w:tcBorders>
                  <w:vAlign w:val="center"/>
                </w:tcPr>
                <w:p w14:paraId="31A170D6">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间歇</w:t>
                  </w:r>
                </w:p>
              </w:tc>
              <w:tc>
                <w:tcPr>
                  <w:tcW w:w="1397" w:type="pct"/>
                  <w:vMerge w:val="continue"/>
                  <w:tcBorders>
                    <w:tl2br w:val="nil"/>
                    <w:tr2bl w:val="nil"/>
                  </w:tcBorders>
                  <w:vAlign w:val="center"/>
                </w:tcPr>
                <w:p w14:paraId="533B2E63">
                  <w:pPr>
                    <w:pStyle w:val="6"/>
                    <w:rPr>
                      <w:color w:val="000000" w:themeColor="text1"/>
                      <w:szCs w:val="21"/>
                      <w14:textFill>
                        <w14:solidFill>
                          <w14:schemeClr w14:val="tx1"/>
                        </w14:solidFill>
                      </w14:textFill>
                    </w:rPr>
                  </w:pPr>
                </w:p>
              </w:tc>
            </w:tr>
            <w:tr w14:paraId="797EDE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continue"/>
                  <w:tcBorders>
                    <w:tl2br w:val="nil"/>
                    <w:tr2bl w:val="nil"/>
                  </w:tcBorders>
                  <w:vAlign w:val="center"/>
                </w:tcPr>
                <w:p w14:paraId="5265FAAC">
                  <w:pPr>
                    <w:pStyle w:val="6"/>
                    <w:rPr>
                      <w:color w:val="000000" w:themeColor="text1"/>
                      <w:szCs w:val="21"/>
                      <w14:textFill>
                        <w14:solidFill>
                          <w14:schemeClr w14:val="tx1"/>
                        </w14:solidFill>
                      </w14:textFill>
                    </w:rPr>
                  </w:pPr>
                </w:p>
              </w:tc>
              <w:tc>
                <w:tcPr>
                  <w:tcW w:w="851" w:type="pct"/>
                  <w:tcBorders>
                    <w:tl2br w:val="nil"/>
                    <w:tr2bl w:val="nil"/>
                  </w:tcBorders>
                  <w:vAlign w:val="center"/>
                </w:tcPr>
                <w:p w14:paraId="49913097">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水质分析室废</w:t>
                  </w:r>
                  <w:r>
                    <w:rPr>
                      <w:rFonts w:hint="eastAsia"/>
                      <w:color w:val="000000" w:themeColor="text1"/>
                      <w:szCs w:val="21"/>
                      <w14:textFill>
                        <w14:solidFill>
                          <w14:schemeClr w14:val="tx1"/>
                        </w14:solidFill>
                      </w14:textFill>
                    </w:rPr>
                    <w:t>水</w:t>
                  </w:r>
                </w:p>
              </w:tc>
              <w:tc>
                <w:tcPr>
                  <w:tcW w:w="683" w:type="pct"/>
                  <w:tcBorders>
                    <w:tl2br w:val="nil"/>
                    <w:tr2bl w:val="nil"/>
                  </w:tcBorders>
                  <w:vAlign w:val="center"/>
                </w:tcPr>
                <w:p w14:paraId="569FA1B5">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水质检测</w:t>
                  </w:r>
                </w:p>
              </w:tc>
              <w:tc>
                <w:tcPr>
                  <w:tcW w:w="1090" w:type="pct"/>
                  <w:tcBorders>
                    <w:tl2br w:val="nil"/>
                    <w:tr2bl w:val="nil"/>
                  </w:tcBorders>
                  <w:vAlign w:val="center"/>
                </w:tcPr>
                <w:p w14:paraId="637F0622">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酸、碱、重金属</w:t>
                  </w:r>
                </w:p>
              </w:tc>
              <w:tc>
                <w:tcPr>
                  <w:tcW w:w="572" w:type="pct"/>
                  <w:tcBorders>
                    <w:tl2br w:val="nil"/>
                    <w:tr2bl w:val="nil"/>
                  </w:tcBorders>
                  <w:vAlign w:val="center"/>
                </w:tcPr>
                <w:p w14:paraId="13168370">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间歇</w:t>
                  </w:r>
                </w:p>
              </w:tc>
              <w:tc>
                <w:tcPr>
                  <w:tcW w:w="1397" w:type="pct"/>
                  <w:tcBorders>
                    <w:tl2br w:val="nil"/>
                    <w:tr2bl w:val="nil"/>
                  </w:tcBorders>
                  <w:vAlign w:val="center"/>
                </w:tcPr>
                <w:p w14:paraId="4CDA5440">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暂存于危废间，定期交由有资质单位处置</w:t>
                  </w:r>
                </w:p>
              </w:tc>
            </w:tr>
            <w:tr w14:paraId="70C4BC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restart"/>
                  <w:tcBorders>
                    <w:tl2br w:val="nil"/>
                    <w:tr2bl w:val="nil"/>
                  </w:tcBorders>
                  <w:vAlign w:val="center"/>
                </w:tcPr>
                <w:p w14:paraId="2BCA47F1">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851" w:type="pct"/>
                  <w:tcBorders>
                    <w:tl2br w:val="nil"/>
                    <w:tr2bl w:val="nil"/>
                  </w:tcBorders>
                  <w:vAlign w:val="center"/>
                </w:tcPr>
                <w:p w14:paraId="3A13BBF9">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683" w:type="pct"/>
                  <w:tcBorders>
                    <w:tl2br w:val="nil"/>
                    <w:tr2bl w:val="nil"/>
                  </w:tcBorders>
                  <w:vAlign w:val="center"/>
                </w:tcPr>
                <w:p w14:paraId="5D692F89">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w:t>
                  </w:r>
                </w:p>
              </w:tc>
              <w:tc>
                <w:tcPr>
                  <w:tcW w:w="1090" w:type="pct"/>
                  <w:tcBorders>
                    <w:tl2br w:val="nil"/>
                    <w:tr2bl w:val="nil"/>
                  </w:tcBorders>
                  <w:vAlign w:val="center"/>
                </w:tcPr>
                <w:p w14:paraId="4B17630A">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572" w:type="pct"/>
                  <w:tcBorders>
                    <w:tl2br w:val="nil"/>
                    <w:tr2bl w:val="nil"/>
                  </w:tcBorders>
                  <w:vAlign w:val="center"/>
                </w:tcPr>
                <w:p w14:paraId="085115E3">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间歇</w:t>
                  </w:r>
                </w:p>
              </w:tc>
              <w:tc>
                <w:tcPr>
                  <w:tcW w:w="1397" w:type="pct"/>
                  <w:vMerge w:val="restart"/>
                  <w:tcBorders>
                    <w:tl2br w:val="nil"/>
                    <w:tr2bl w:val="nil"/>
                  </w:tcBorders>
                  <w:vAlign w:val="center"/>
                </w:tcPr>
                <w:p w14:paraId="4EA55EF9">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环卫部门定期清运</w:t>
                  </w:r>
                </w:p>
              </w:tc>
            </w:tr>
            <w:tr w14:paraId="5C3A67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continue"/>
                  <w:tcBorders>
                    <w:tl2br w:val="nil"/>
                    <w:tr2bl w:val="nil"/>
                  </w:tcBorders>
                  <w:vAlign w:val="center"/>
                </w:tcPr>
                <w:p w14:paraId="30CFEF14">
                  <w:pPr>
                    <w:pStyle w:val="6"/>
                    <w:rPr>
                      <w:color w:val="000000" w:themeColor="text1"/>
                      <w:szCs w:val="21"/>
                      <w14:textFill>
                        <w14:solidFill>
                          <w14:schemeClr w14:val="tx1"/>
                        </w14:solidFill>
                      </w14:textFill>
                    </w:rPr>
                  </w:pPr>
                </w:p>
              </w:tc>
              <w:tc>
                <w:tcPr>
                  <w:tcW w:w="851" w:type="pct"/>
                  <w:tcBorders>
                    <w:tl2br w:val="nil"/>
                    <w:tr2bl w:val="nil"/>
                  </w:tcBorders>
                  <w:vAlign w:val="center"/>
                </w:tcPr>
                <w:p w14:paraId="4F325C6B">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格栅渣</w:t>
                  </w:r>
                  <w:r>
                    <w:rPr>
                      <w:rFonts w:hint="eastAsia"/>
                      <w:color w:val="000000" w:themeColor="text1"/>
                      <w:szCs w:val="21"/>
                      <w14:textFill>
                        <w14:solidFill>
                          <w14:schemeClr w14:val="tx1"/>
                        </w14:solidFill>
                      </w14:textFill>
                    </w:rPr>
                    <w:t>、沉砂</w:t>
                  </w:r>
                </w:p>
              </w:tc>
              <w:tc>
                <w:tcPr>
                  <w:tcW w:w="683" w:type="pct"/>
                  <w:tcBorders>
                    <w:tl2br w:val="nil"/>
                    <w:tr2bl w:val="nil"/>
                  </w:tcBorders>
                  <w:vAlign w:val="center"/>
                </w:tcPr>
                <w:p w14:paraId="1FD682B0">
                  <w:pPr>
                    <w:pStyle w:val="6"/>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格栅</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调节池</w:t>
                  </w:r>
                </w:p>
              </w:tc>
              <w:tc>
                <w:tcPr>
                  <w:tcW w:w="1090" w:type="pct"/>
                  <w:tcBorders>
                    <w:tl2br w:val="nil"/>
                    <w:tr2bl w:val="nil"/>
                  </w:tcBorders>
                  <w:vAlign w:val="center"/>
                </w:tcPr>
                <w:p w14:paraId="64265D19">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格栅渣</w:t>
                  </w:r>
                  <w:r>
                    <w:rPr>
                      <w:rFonts w:hint="eastAsia"/>
                      <w:color w:val="000000" w:themeColor="text1"/>
                      <w:szCs w:val="21"/>
                      <w14:textFill>
                        <w14:solidFill>
                          <w14:schemeClr w14:val="tx1"/>
                        </w14:solidFill>
                      </w14:textFill>
                    </w:rPr>
                    <w:t>、沉砂</w:t>
                  </w:r>
                </w:p>
              </w:tc>
              <w:tc>
                <w:tcPr>
                  <w:tcW w:w="572" w:type="pct"/>
                  <w:tcBorders>
                    <w:tl2br w:val="nil"/>
                    <w:tr2bl w:val="nil"/>
                  </w:tcBorders>
                  <w:vAlign w:val="center"/>
                </w:tcPr>
                <w:p w14:paraId="5254AA9F">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397" w:type="pct"/>
                  <w:vMerge w:val="continue"/>
                  <w:tcBorders>
                    <w:bottom w:val="single" w:color="auto" w:sz="4" w:space="0"/>
                    <w:tl2br w:val="nil"/>
                    <w:tr2bl w:val="nil"/>
                  </w:tcBorders>
                  <w:vAlign w:val="center"/>
                </w:tcPr>
                <w:p w14:paraId="7C36FFBB">
                  <w:pPr>
                    <w:pStyle w:val="6"/>
                    <w:rPr>
                      <w:color w:val="000000" w:themeColor="text1"/>
                      <w:szCs w:val="21"/>
                      <w14:textFill>
                        <w14:solidFill>
                          <w14:schemeClr w14:val="tx1"/>
                        </w14:solidFill>
                      </w14:textFill>
                    </w:rPr>
                  </w:pPr>
                </w:p>
              </w:tc>
            </w:tr>
            <w:tr w14:paraId="23F9EF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continue"/>
                  <w:tcBorders>
                    <w:tl2br w:val="nil"/>
                    <w:tr2bl w:val="nil"/>
                  </w:tcBorders>
                  <w:vAlign w:val="center"/>
                </w:tcPr>
                <w:p w14:paraId="2D7F68A5">
                  <w:pPr>
                    <w:pStyle w:val="6"/>
                    <w:rPr>
                      <w:color w:val="000000" w:themeColor="text1"/>
                      <w:szCs w:val="21"/>
                      <w14:textFill>
                        <w14:solidFill>
                          <w14:schemeClr w14:val="tx1"/>
                        </w14:solidFill>
                      </w14:textFill>
                    </w:rPr>
                  </w:pPr>
                </w:p>
              </w:tc>
              <w:tc>
                <w:tcPr>
                  <w:tcW w:w="851" w:type="pct"/>
                  <w:tcBorders>
                    <w:tl2br w:val="nil"/>
                    <w:tr2bl w:val="nil"/>
                  </w:tcBorders>
                  <w:vAlign w:val="center"/>
                </w:tcPr>
                <w:p w14:paraId="52D6D58F">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废包装袋</w:t>
                  </w:r>
                </w:p>
              </w:tc>
              <w:tc>
                <w:tcPr>
                  <w:tcW w:w="683" w:type="pct"/>
                  <w:tcBorders>
                    <w:tl2br w:val="nil"/>
                    <w:tr2bl w:val="nil"/>
                  </w:tcBorders>
                  <w:vAlign w:val="center"/>
                </w:tcPr>
                <w:p w14:paraId="1A8D1CDD">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袋装药剂</w:t>
                  </w:r>
                </w:p>
              </w:tc>
              <w:tc>
                <w:tcPr>
                  <w:tcW w:w="1090" w:type="pct"/>
                  <w:tcBorders>
                    <w:tl2br w:val="nil"/>
                    <w:tr2bl w:val="nil"/>
                  </w:tcBorders>
                  <w:vAlign w:val="center"/>
                </w:tcPr>
                <w:p w14:paraId="35475C4E">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编织袋、纸皮等</w:t>
                  </w:r>
                </w:p>
              </w:tc>
              <w:tc>
                <w:tcPr>
                  <w:tcW w:w="572" w:type="pct"/>
                  <w:tcBorders>
                    <w:tl2br w:val="nil"/>
                    <w:tr2bl w:val="nil"/>
                  </w:tcBorders>
                  <w:vAlign w:val="center"/>
                </w:tcPr>
                <w:p w14:paraId="0915ABF3">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间歇</w:t>
                  </w:r>
                </w:p>
              </w:tc>
              <w:tc>
                <w:tcPr>
                  <w:tcW w:w="1397" w:type="pct"/>
                  <w:tcBorders>
                    <w:top w:val="single" w:color="auto" w:sz="4" w:space="0"/>
                    <w:tl2br w:val="nil"/>
                    <w:tr2bl w:val="nil"/>
                  </w:tcBorders>
                  <w:vAlign w:val="center"/>
                </w:tcPr>
                <w:p w14:paraId="2A3E747D">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环卫部门定期清运</w:t>
                  </w:r>
                </w:p>
              </w:tc>
            </w:tr>
            <w:tr w14:paraId="506EC6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continue"/>
                  <w:tcBorders>
                    <w:tl2br w:val="nil"/>
                    <w:tr2bl w:val="nil"/>
                  </w:tcBorders>
                  <w:vAlign w:val="center"/>
                </w:tcPr>
                <w:p w14:paraId="3977693E">
                  <w:pPr>
                    <w:pStyle w:val="6"/>
                    <w:rPr>
                      <w:color w:val="000000" w:themeColor="text1"/>
                      <w:szCs w:val="21"/>
                      <w14:textFill>
                        <w14:solidFill>
                          <w14:schemeClr w14:val="tx1"/>
                        </w14:solidFill>
                      </w14:textFill>
                    </w:rPr>
                  </w:pPr>
                </w:p>
              </w:tc>
              <w:tc>
                <w:tcPr>
                  <w:tcW w:w="851" w:type="pct"/>
                  <w:tcBorders>
                    <w:tl2br w:val="nil"/>
                    <w:tr2bl w:val="nil"/>
                  </w:tcBorders>
                  <w:vAlign w:val="center"/>
                </w:tcPr>
                <w:p w14:paraId="7B4BB808">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污泥</w:t>
                  </w:r>
                </w:p>
              </w:tc>
              <w:tc>
                <w:tcPr>
                  <w:tcW w:w="683" w:type="pct"/>
                  <w:tcBorders>
                    <w:tl2br w:val="nil"/>
                    <w:tr2bl w:val="nil"/>
                  </w:tcBorders>
                  <w:vAlign w:val="center"/>
                </w:tcPr>
                <w:p w14:paraId="64843AB8">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污泥脱水</w:t>
                  </w:r>
                </w:p>
              </w:tc>
              <w:tc>
                <w:tcPr>
                  <w:tcW w:w="1090" w:type="pct"/>
                  <w:tcBorders>
                    <w:tl2br w:val="nil"/>
                    <w:tr2bl w:val="nil"/>
                  </w:tcBorders>
                  <w:vAlign w:val="center"/>
                </w:tcPr>
                <w:p w14:paraId="4B4E333B">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生化污泥</w:t>
                  </w:r>
                </w:p>
              </w:tc>
              <w:tc>
                <w:tcPr>
                  <w:tcW w:w="572" w:type="pct"/>
                  <w:tcBorders>
                    <w:tl2br w:val="nil"/>
                    <w:tr2bl w:val="nil"/>
                  </w:tcBorders>
                  <w:vAlign w:val="center"/>
                </w:tcPr>
                <w:p w14:paraId="7FD27C1B">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397" w:type="pct"/>
                  <w:tcBorders>
                    <w:top w:val="single" w:color="auto" w:sz="4" w:space="0"/>
                    <w:tl2br w:val="nil"/>
                    <w:tr2bl w:val="nil"/>
                  </w:tcBorders>
                  <w:vAlign w:val="center"/>
                </w:tcPr>
                <w:p w14:paraId="784EEB60">
                  <w:pPr>
                    <w:pStyle w:val="6"/>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脱水后储存于污泥斗，定期</w:t>
                  </w:r>
                  <w:r>
                    <w:rPr>
                      <w:rFonts w:hint="eastAsia"/>
                      <w:color w:val="000000" w:themeColor="text1"/>
                      <w:szCs w:val="21"/>
                      <w:lang w:val="en-US" w:eastAsia="zh-CN"/>
                      <w14:textFill>
                        <w14:solidFill>
                          <w14:schemeClr w14:val="tx1"/>
                        </w14:solidFill>
                      </w14:textFill>
                    </w:rPr>
                    <w:t>外运处置</w:t>
                  </w:r>
                </w:p>
              </w:tc>
            </w:tr>
            <w:tr w14:paraId="3BFF46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continue"/>
                  <w:tcBorders>
                    <w:tl2br w:val="nil"/>
                    <w:tr2bl w:val="nil"/>
                  </w:tcBorders>
                  <w:vAlign w:val="center"/>
                </w:tcPr>
                <w:p w14:paraId="4B8C83A0">
                  <w:pPr>
                    <w:pStyle w:val="6"/>
                    <w:rPr>
                      <w:color w:val="000000" w:themeColor="text1"/>
                      <w:szCs w:val="21"/>
                      <w14:textFill>
                        <w14:solidFill>
                          <w14:schemeClr w14:val="tx1"/>
                        </w14:solidFill>
                      </w14:textFill>
                    </w:rPr>
                  </w:pPr>
                </w:p>
              </w:tc>
              <w:tc>
                <w:tcPr>
                  <w:tcW w:w="851" w:type="pct"/>
                  <w:tcBorders>
                    <w:tl2br w:val="nil"/>
                    <w:tr2bl w:val="nil"/>
                  </w:tcBorders>
                  <w:vAlign w:val="center"/>
                </w:tcPr>
                <w:p w14:paraId="4E805662">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在线监测废液</w:t>
                  </w:r>
                </w:p>
              </w:tc>
              <w:tc>
                <w:tcPr>
                  <w:tcW w:w="683" w:type="pct"/>
                  <w:tcBorders>
                    <w:tl2br w:val="nil"/>
                    <w:tr2bl w:val="nil"/>
                  </w:tcBorders>
                  <w:vAlign w:val="center"/>
                </w:tcPr>
                <w:p w14:paraId="6421A1AA">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在线监测</w:t>
                  </w:r>
                </w:p>
              </w:tc>
              <w:tc>
                <w:tcPr>
                  <w:tcW w:w="1090" w:type="pct"/>
                  <w:tcBorders>
                    <w:tl2br w:val="nil"/>
                    <w:tr2bl w:val="nil"/>
                  </w:tcBorders>
                  <w:vAlign w:val="center"/>
                </w:tcPr>
                <w:p w14:paraId="1E2E46A5">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酸、碱、重金属</w:t>
                  </w:r>
                </w:p>
              </w:tc>
              <w:tc>
                <w:tcPr>
                  <w:tcW w:w="572" w:type="pct"/>
                  <w:tcBorders>
                    <w:tl2br w:val="nil"/>
                    <w:tr2bl w:val="nil"/>
                  </w:tcBorders>
                  <w:vAlign w:val="center"/>
                </w:tcPr>
                <w:p w14:paraId="0C90A748">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间歇</w:t>
                  </w:r>
                </w:p>
              </w:tc>
              <w:tc>
                <w:tcPr>
                  <w:tcW w:w="1397" w:type="pct"/>
                  <w:vMerge w:val="restart"/>
                  <w:tcBorders>
                    <w:tl2br w:val="nil"/>
                    <w:tr2bl w:val="nil"/>
                  </w:tcBorders>
                  <w:vAlign w:val="center"/>
                </w:tcPr>
                <w:p w14:paraId="1C4B016C">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危废暂存间暂存，</w:t>
                  </w:r>
                  <w:r>
                    <w:rPr>
                      <w:rFonts w:hint="eastAsia"/>
                      <w:color w:val="000000" w:themeColor="text1"/>
                      <w:szCs w:val="21"/>
                      <w14:textFill>
                        <w14:solidFill>
                          <w14:schemeClr w14:val="tx1"/>
                        </w14:solidFill>
                      </w14:textFill>
                    </w:rPr>
                    <w:t>定期</w:t>
                  </w:r>
                  <w:r>
                    <w:rPr>
                      <w:color w:val="000000" w:themeColor="text1"/>
                      <w:szCs w:val="21"/>
                      <w14:textFill>
                        <w14:solidFill>
                          <w14:schemeClr w14:val="tx1"/>
                        </w14:solidFill>
                      </w14:textFill>
                    </w:rPr>
                    <w:t>委托有资质单位处置</w:t>
                  </w:r>
                </w:p>
              </w:tc>
            </w:tr>
            <w:tr w14:paraId="614F9F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continue"/>
                  <w:tcBorders>
                    <w:tl2br w:val="nil"/>
                    <w:tr2bl w:val="nil"/>
                  </w:tcBorders>
                  <w:vAlign w:val="center"/>
                </w:tcPr>
                <w:p w14:paraId="1A7AF018">
                  <w:pPr>
                    <w:pStyle w:val="6"/>
                    <w:rPr>
                      <w:color w:val="000000" w:themeColor="text1"/>
                      <w:szCs w:val="21"/>
                      <w14:textFill>
                        <w14:solidFill>
                          <w14:schemeClr w14:val="tx1"/>
                        </w14:solidFill>
                      </w14:textFill>
                    </w:rPr>
                  </w:pPr>
                </w:p>
              </w:tc>
              <w:tc>
                <w:tcPr>
                  <w:tcW w:w="851" w:type="pct"/>
                  <w:tcBorders>
                    <w:tl2br w:val="nil"/>
                    <w:tr2bl w:val="nil"/>
                  </w:tcBorders>
                  <w:vAlign w:val="center"/>
                </w:tcPr>
                <w:p w14:paraId="297ED072">
                  <w:pPr>
                    <w:pStyle w:val="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实验室废液</w:t>
                  </w:r>
                </w:p>
              </w:tc>
              <w:tc>
                <w:tcPr>
                  <w:tcW w:w="683" w:type="pct"/>
                  <w:tcBorders>
                    <w:tl2br w:val="nil"/>
                    <w:tr2bl w:val="nil"/>
                  </w:tcBorders>
                  <w:vAlign w:val="center"/>
                </w:tcPr>
                <w:p w14:paraId="2DA727F3">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水质分析室</w:t>
                  </w:r>
                </w:p>
              </w:tc>
              <w:tc>
                <w:tcPr>
                  <w:tcW w:w="1090" w:type="pct"/>
                  <w:tcBorders>
                    <w:tl2br w:val="nil"/>
                    <w:tr2bl w:val="nil"/>
                  </w:tcBorders>
                  <w:vAlign w:val="center"/>
                </w:tcPr>
                <w:p w14:paraId="4FBED72F">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酸、碱、重金属</w:t>
                  </w:r>
                </w:p>
              </w:tc>
              <w:tc>
                <w:tcPr>
                  <w:tcW w:w="572" w:type="pct"/>
                  <w:tcBorders>
                    <w:tl2br w:val="nil"/>
                    <w:tr2bl w:val="nil"/>
                  </w:tcBorders>
                  <w:vAlign w:val="center"/>
                </w:tcPr>
                <w:p w14:paraId="49E14AA1">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间歇</w:t>
                  </w:r>
                </w:p>
              </w:tc>
              <w:tc>
                <w:tcPr>
                  <w:tcW w:w="1397" w:type="pct"/>
                  <w:vMerge w:val="continue"/>
                  <w:tcBorders>
                    <w:tl2br w:val="nil"/>
                    <w:tr2bl w:val="nil"/>
                  </w:tcBorders>
                  <w:vAlign w:val="center"/>
                </w:tcPr>
                <w:p w14:paraId="6BD762C4">
                  <w:pPr>
                    <w:pStyle w:val="6"/>
                    <w:rPr>
                      <w:color w:val="000000" w:themeColor="text1"/>
                      <w:szCs w:val="21"/>
                      <w14:textFill>
                        <w14:solidFill>
                          <w14:schemeClr w14:val="tx1"/>
                        </w14:solidFill>
                      </w14:textFill>
                    </w:rPr>
                  </w:pPr>
                </w:p>
              </w:tc>
            </w:tr>
            <w:tr w14:paraId="5D060B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vMerge w:val="continue"/>
                  <w:tcBorders>
                    <w:tl2br w:val="nil"/>
                    <w:tr2bl w:val="nil"/>
                  </w:tcBorders>
                  <w:vAlign w:val="center"/>
                </w:tcPr>
                <w:p w14:paraId="31F62F21">
                  <w:pPr>
                    <w:pStyle w:val="6"/>
                    <w:rPr>
                      <w:color w:val="000000" w:themeColor="text1"/>
                      <w:szCs w:val="21"/>
                      <w14:textFill>
                        <w14:solidFill>
                          <w14:schemeClr w14:val="tx1"/>
                        </w14:solidFill>
                      </w14:textFill>
                    </w:rPr>
                  </w:pPr>
                </w:p>
              </w:tc>
              <w:tc>
                <w:tcPr>
                  <w:tcW w:w="851" w:type="pct"/>
                  <w:tcBorders>
                    <w:tl2br w:val="nil"/>
                    <w:tr2bl w:val="nil"/>
                  </w:tcBorders>
                  <w:vAlign w:val="center"/>
                </w:tcPr>
                <w:p w14:paraId="3E65B205">
                  <w:pPr>
                    <w:pStyle w:val="6"/>
                    <w:rPr>
                      <w:rFonts w:cstheme="minorBidi"/>
                      <w:color w:val="000000" w:themeColor="text1"/>
                      <w14:textFill>
                        <w14:solidFill>
                          <w14:schemeClr w14:val="tx1"/>
                        </w14:solidFill>
                      </w14:textFill>
                    </w:rPr>
                  </w:pPr>
                  <w:r>
                    <w:rPr>
                      <w:rFonts w:hint="eastAsia" w:cstheme="minorBidi"/>
                      <w:color w:val="000000" w:themeColor="text1"/>
                      <w:lang w:eastAsia="zh-CN"/>
                      <w14:textFill>
                        <w14:solidFill>
                          <w14:schemeClr w14:val="tx1"/>
                        </w14:solidFill>
                      </w14:textFill>
                    </w:rPr>
                    <w:t>废试剂包装物</w:t>
                  </w:r>
                  <w:r>
                    <w:rPr>
                      <w:rFonts w:hint="eastAsia" w:cstheme="minorBidi"/>
                      <w:color w:val="000000" w:themeColor="text1"/>
                      <w14:textFill>
                        <w14:solidFill>
                          <w14:schemeClr w14:val="tx1"/>
                        </w14:solidFill>
                      </w14:textFill>
                    </w:rPr>
                    <w:t>、废试剂</w:t>
                  </w:r>
                </w:p>
              </w:tc>
              <w:tc>
                <w:tcPr>
                  <w:tcW w:w="683" w:type="pct"/>
                  <w:tcBorders>
                    <w:tl2br w:val="nil"/>
                    <w:tr2bl w:val="nil"/>
                  </w:tcBorders>
                  <w:vAlign w:val="center"/>
                </w:tcPr>
                <w:p w14:paraId="21399C30">
                  <w:pPr>
                    <w:pStyle w:val="6"/>
                    <w:rPr>
                      <w:rFonts w:cstheme="minorBidi"/>
                      <w:color w:val="000000" w:themeColor="text1"/>
                      <w14:textFill>
                        <w14:solidFill>
                          <w14:schemeClr w14:val="tx1"/>
                        </w14:solidFill>
                      </w14:textFill>
                    </w:rPr>
                  </w:pPr>
                  <w:r>
                    <w:rPr>
                      <w:rFonts w:hint="eastAsia" w:cstheme="minorBidi"/>
                      <w:color w:val="000000" w:themeColor="text1"/>
                      <w14:textFill>
                        <w14:solidFill>
                          <w14:schemeClr w14:val="tx1"/>
                        </w14:solidFill>
                      </w14:textFill>
                    </w:rPr>
                    <w:t>水质分析室</w:t>
                  </w:r>
                </w:p>
              </w:tc>
              <w:tc>
                <w:tcPr>
                  <w:tcW w:w="1090" w:type="pct"/>
                  <w:tcBorders>
                    <w:tl2br w:val="nil"/>
                    <w:tr2bl w:val="nil"/>
                  </w:tcBorders>
                  <w:vAlign w:val="center"/>
                </w:tcPr>
                <w:p w14:paraId="01BD9E05">
                  <w:pPr>
                    <w:pStyle w:val="6"/>
                    <w:rPr>
                      <w:rFonts w:cstheme="minorBidi"/>
                      <w:color w:val="000000" w:themeColor="text1"/>
                      <w14:textFill>
                        <w14:solidFill>
                          <w14:schemeClr w14:val="tx1"/>
                        </w14:solidFill>
                      </w14:textFill>
                    </w:rPr>
                  </w:pPr>
                  <w:r>
                    <w:rPr>
                      <w:rFonts w:cstheme="minorBidi"/>
                      <w:color w:val="000000" w:themeColor="text1"/>
                      <w14:textFill>
                        <w14:solidFill>
                          <w14:schemeClr w14:val="tx1"/>
                        </w14:solidFill>
                      </w14:textFill>
                    </w:rPr>
                    <w:t>酸、碱、重金属</w:t>
                  </w:r>
                </w:p>
              </w:tc>
              <w:tc>
                <w:tcPr>
                  <w:tcW w:w="572" w:type="pct"/>
                  <w:tcBorders>
                    <w:tl2br w:val="nil"/>
                    <w:tr2bl w:val="nil"/>
                  </w:tcBorders>
                  <w:vAlign w:val="center"/>
                </w:tcPr>
                <w:p w14:paraId="25B024DD">
                  <w:pPr>
                    <w:pStyle w:val="6"/>
                    <w:rPr>
                      <w:rFonts w:cstheme="minorBidi"/>
                      <w:color w:val="000000" w:themeColor="text1"/>
                      <w14:textFill>
                        <w14:solidFill>
                          <w14:schemeClr w14:val="tx1"/>
                        </w14:solidFill>
                      </w14:textFill>
                    </w:rPr>
                  </w:pPr>
                  <w:r>
                    <w:rPr>
                      <w:rFonts w:cstheme="minorBidi"/>
                      <w:color w:val="000000" w:themeColor="text1"/>
                      <w14:textFill>
                        <w14:solidFill>
                          <w14:schemeClr w14:val="tx1"/>
                        </w14:solidFill>
                      </w14:textFill>
                    </w:rPr>
                    <w:t>间歇</w:t>
                  </w:r>
                </w:p>
              </w:tc>
              <w:tc>
                <w:tcPr>
                  <w:tcW w:w="1397" w:type="pct"/>
                  <w:vMerge w:val="continue"/>
                  <w:tcBorders>
                    <w:tl2br w:val="nil"/>
                    <w:tr2bl w:val="nil"/>
                  </w:tcBorders>
                  <w:vAlign w:val="center"/>
                </w:tcPr>
                <w:p w14:paraId="16F32E58">
                  <w:pPr>
                    <w:pStyle w:val="6"/>
                    <w:rPr>
                      <w:color w:val="000000" w:themeColor="text1"/>
                      <w:szCs w:val="21"/>
                      <w14:textFill>
                        <w14:solidFill>
                          <w14:schemeClr w14:val="tx1"/>
                        </w14:solidFill>
                      </w14:textFill>
                    </w:rPr>
                  </w:pPr>
                </w:p>
              </w:tc>
            </w:tr>
            <w:tr w14:paraId="6FEE4D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404" w:type="pct"/>
                  <w:tcBorders>
                    <w:tl2br w:val="nil"/>
                    <w:tr2bl w:val="nil"/>
                  </w:tcBorders>
                  <w:vAlign w:val="center"/>
                </w:tcPr>
                <w:p w14:paraId="000EB3F2">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851" w:type="pct"/>
                  <w:tcBorders>
                    <w:tl2br w:val="nil"/>
                    <w:tr2bl w:val="nil"/>
                  </w:tcBorders>
                  <w:vAlign w:val="center"/>
                </w:tcPr>
                <w:p w14:paraId="20A055E9">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机械设备</w:t>
                  </w:r>
                </w:p>
              </w:tc>
              <w:tc>
                <w:tcPr>
                  <w:tcW w:w="683" w:type="pct"/>
                  <w:tcBorders>
                    <w:tl2br w:val="nil"/>
                    <w:tr2bl w:val="nil"/>
                  </w:tcBorders>
                  <w:vAlign w:val="center"/>
                </w:tcPr>
                <w:p w14:paraId="11EDB8F4">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设备运行</w:t>
                  </w:r>
                </w:p>
              </w:tc>
              <w:tc>
                <w:tcPr>
                  <w:tcW w:w="1090" w:type="pct"/>
                  <w:tcBorders>
                    <w:tl2br w:val="nil"/>
                    <w:tr2bl w:val="nil"/>
                  </w:tcBorders>
                  <w:vAlign w:val="center"/>
                </w:tcPr>
                <w:p w14:paraId="3A9FF690">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572" w:type="pct"/>
                  <w:tcBorders>
                    <w:tl2br w:val="nil"/>
                    <w:tr2bl w:val="nil"/>
                  </w:tcBorders>
                  <w:vAlign w:val="center"/>
                </w:tcPr>
                <w:p w14:paraId="49D0211B">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397" w:type="pct"/>
                  <w:tcBorders>
                    <w:tl2br w:val="nil"/>
                    <w:tr2bl w:val="nil"/>
                  </w:tcBorders>
                  <w:vAlign w:val="center"/>
                </w:tcPr>
                <w:p w14:paraId="27CA670C">
                  <w:pPr>
                    <w:pStyle w:val="6"/>
                    <w:rPr>
                      <w:color w:val="000000" w:themeColor="text1"/>
                      <w:szCs w:val="21"/>
                      <w14:textFill>
                        <w14:solidFill>
                          <w14:schemeClr w14:val="tx1"/>
                        </w14:solidFill>
                      </w14:textFill>
                    </w:rPr>
                  </w:pPr>
                  <w:r>
                    <w:rPr>
                      <w:color w:val="000000" w:themeColor="text1"/>
                      <w:szCs w:val="21"/>
                      <w14:textFill>
                        <w14:solidFill>
                          <w14:schemeClr w14:val="tx1"/>
                        </w14:solidFill>
                      </w14:textFill>
                    </w:rPr>
                    <w:t>选择低噪声设备，设备减振、距离衰减等措施</w:t>
                  </w:r>
                </w:p>
              </w:tc>
            </w:tr>
          </w:tbl>
          <w:p w14:paraId="774D8611">
            <w:pPr>
              <w:pStyle w:val="60"/>
            </w:pPr>
          </w:p>
          <w:p w14:paraId="0A09D35D">
            <w:pPr>
              <w:pStyle w:val="60"/>
            </w:pPr>
          </w:p>
          <w:p w14:paraId="1AF9E754">
            <w:pPr>
              <w:pStyle w:val="26"/>
              <w:ind w:firstLine="0" w:firstLineChars="0"/>
            </w:pPr>
          </w:p>
          <w:p w14:paraId="24FAEF2E">
            <w:pPr>
              <w:pStyle w:val="26"/>
              <w:ind w:firstLine="0" w:firstLineChars="0"/>
            </w:pPr>
          </w:p>
          <w:p w14:paraId="3ED0B1E0">
            <w:pPr>
              <w:pStyle w:val="26"/>
              <w:ind w:firstLine="0" w:firstLineChars="0"/>
            </w:pPr>
          </w:p>
        </w:tc>
      </w:tr>
      <w:tr w14:paraId="5C8A9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9" w:hRule="atLeast"/>
          <w:jc w:val="center"/>
        </w:trPr>
        <w:tc>
          <w:tcPr>
            <w:tcW w:w="414" w:type="pct"/>
            <w:vAlign w:val="center"/>
          </w:tcPr>
          <w:p w14:paraId="298A9492">
            <w:pPr>
              <w:pStyle w:val="24"/>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4585" w:type="pct"/>
            <w:vAlign w:val="center"/>
          </w:tcPr>
          <w:p w14:paraId="5B7F3D5E">
            <w:pPr>
              <w:pStyle w:val="36"/>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rPr>
            </w:pPr>
            <w:r>
              <w:rPr>
                <w:rFonts w:hint="eastAsia"/>
              </w:rPr>
              <w:t>本工程为新建项目，不存在现有工程。</w:t>
            </w:r>
          </w:p>
          <w:p w14:paraId="453422DA">
            <w:pPr>
              <w:pStyle w:val="36"/>
              <w:bidi w:val="0"/>
              <w:rPr>
                <w:rFonts w:hint="default"/>
              </w:rPr>
            </w:pPr>
            <w:r>
              <w:rPr>
                <w:rFonts w:hint="default"/>
              </w:rPr>
              <w:t>宁都县青塘镇因污水收集和处理不完善等基础设施而造成的环境污染，对工、农业生产和吸引投资将带来一系列不利影响。本项目的建设将大幅度降低</w:t>
            </w:r>
            <w:r>
              <w:rPr>
                <w:rFonts w:hint="eastAsia"/>
                <w:lang w:val="en-US" w:eastAsia="zh-CN"/>
              </w:rPr>
              <w:t>项目区域生活污水对区域地表水</w:t>
            </w:r>
            <w:r>
              <w:rPr>
                <w:rFonts w:hint="default"/>
              </w:rPr>
              <w:t>的污染，改善投资环境，促进当地社会经济的可持续发展，为青塘镇社会经济的长远发展提供保障。</w:t>
            </w:r>
          </w:p>
          <w:p w14:paraId="7EC36F90">
            <w:pPr>
              <w:pStyle w:val="36"/>
              <w:widowControl/>
              <w:ind w:firstLine="0" w:firstLineChars="0"/>
              <w:rPr>
                <w:rFonts w:hint="default"/>
              </w:rPr>
            </w:pPr>
          </w:p>
          <w:p w14:paraId="0BD4E49D">
            <w:pPr>
              <w:pStyle w:val="36"/>
              <w:widowControl/>
              <w:ind w:firstLine="0" w:firstLineChars="0"/>
              <w:rPr>
                <w:rFonts w:hint="default"/>
              </w:rPr>
            </w:pPr>
          </w:p>
          <w:p w14:paraId="777170ED">
            <w:pPr>
              <w:pStyle w:val="36"/>
              <w:widowControl/>
              <w:ind w:firstLine="0" w:firstLineChars="0"/>
              <w:rPr>
                <w:rFonts w:hint="default"/>
              </w:rPr>
            </w:pPr>
          </w:p>
        </w:tc>
      </w:tr>
    </w:tbl>
    <w:p w14:paraId="125F9ADF">
      <w:pPr>
        <w:pStyle w:val="24"/>
        <w:jc w:val="center"/>
        <w:rPr>
          <w:rFonts w:ascii="Times New Roman" w:hAnsi="Times New Roman"/>
          <w:snapToGrid w:val="0"/>
          <w:sz w:val="36"/>
          <w:szCs w:val="36"/>
        </w:rPr>
        <w:sectPr>
          <w:pgSz w:w="11906" w:h="16838"/>
          <w:pgMar w:top="1134" w:right="1134" w:bottom="1134" w:left="1417" w:header="851" w:footer="850" w:gutter="0"/>
          <w:pgBorders>
            <w:top w:val="none" w:sz="0" w:space="0"/>
            <w:left w:val="none" w:sz="0" w:space="0"/>
            <w:bottom w:val="none" w:sz="0" w:space="0"/>
            <w:right w:val="none" w:sz="0" w:space="0"/>
          </w:pgBorders>
          <w:pgNumType w:fmt="numberInDash"/>
          <w:cols w:space="720" w:num="1"/>
          <w:docGrid w:linePitch="312" w:charSpace="0"/>
        </w:sectPr>
      </w:pPr>
    </w:p>
    <w:p w14:paraId="7B78715B">
      <w:pPr>
        <w:pStyle w:val="24"/>
        <w:adjustRightInd w:val="0"/>
        <w:snapToGrid w:val="0"/>
        <w:spacing w:before="0" w:beforeAutospacing="0" w:after="0" w:afterAutospacing="0" w:line="14" w:lineRule="auto"/>
        <w:jc w:val="center"/>
        <w:rPr>
          <w:rFonts w:ascii="Times New Roman" w:hAnsi="Times New Roman"/>
          <w:snapToGrid w:val="0"/>
          <w:sz w:val="30"/>
          <w:szCs w:val="30"/>
        </w:rPr>
      </w:pPr>
    </w:p>
    <w:p w14:paraId="032A74BD">
      <w:pPr>
        <w:pStyle w:val="50"/>
        <w:outlineLvl w:val="0"/>
      </w:pPr>
      <w:bookmarkStart w:id="22" w:name="_Toc3582"/>
      <w:bookmarkStart w:id="23" w:name="_Toc20195"/>
      <w:bookmarkStart w:id="24" w:name="_Toc620"/>
      <w:bookmarkStart w:id="25" w:name="_Toc752"/>
      <w:bookmarkStart w:id="26" w:name="_Toc14278"/>
      <w:bookmarkStart w:id="27" w:name="_Toc7879"/>
      <w:r>
        <w:t>区域环境质量现状、环境保护目标及评价标准</w:t>
      </w:r>
      <w:bookmarkEnd w:id="22"/>
      <w:bookmarkEnd w:id="23"/>
      <w:bookmarkEnd w:id="24"/>
      <w:bookmarkEnd w:id="25"/>
      <w:bookmarkEnd w:id="26"/>
      <w:bookmarkEnd w:id="27"/>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864"/>
      </w:tblGrid>
      <w:tr w14:paraId="640A3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Align w:val="center"/>
          </w:tcPr>
          <w:p w14:paraId="49D52F0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区域</w:t>
            </w:r>
          </w:p>
          <w:p w14:paraId="1680595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512000E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质量</w:t>
            </w:r>
          </w:p>
          <w:p w14:paraId="15BF28A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w:t>
            </w:r>
          </w:p>
        </w:tc>
        <w:tc>
          <w:tcPr>
            <w:tcW w:w="8864" w:type="dxa"/>
            <w:vAlign w:val="center"/>
          </w:tcPr>
          <w:p w14:paraId="5DF36C49">
            <w:pPr>
              <w:pStyle w:val="42"/>
              <w:widowControl/>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w:t>
            </w:r>
            <w:r>
              <w:rPr>
                <w:b/>
                <w:bCs/>
                <w:color w:val="000000" w:themeColor="text1"/>
                <w14:textFill>
                  <w14:solidFill>
                    <w14:schemeClr w14:val="tx1"/>
                  </w14:solidFill>
                </w14:textFill>
              </w:rPr>
              <w:t>大气环境</w:t>
            </w:r>
          </w:p>
          <w:p w14:paraId="2AD7D7E4">
            <w:pPr>
              <w:pStyle w:val="4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区域环境质量达标性分析</w:t>
            </w:r>
          </w:p>
          <w:p w14:paraId="21361146">
            <w:pPr>
              <w:pStyle w:val="4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位于赣州市宁都县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本次评价引用江西省生态环境厅发布的《</w:t>
            </w:r>
            <w:r>
              <w:rPr>
                <w:rFonts w:hint="eastAsia"/>
                <w:color w:val="000000" w:themeColor="text1"/>
                <w14:textFill>
                  <w14:solidFill>
                    <w14:schemeClr w14:val="tx1"/>
                  </w14:solidFill>
                </w14:textFill>
              </w:rPr>
              <w:t>2023</w:t>
            </w:r>
            <w:r>
              <w:rPr>
                <w:color w:val="000000" w:themeColor="text1"/>
                <w14:textFill>
                  <w14:solidFill>
                    <w14:schemeClr w14:val="tx1"/>
                  </w14:solidFill>
                </w14:textFill>
              </w:rPr>
              <w:t>年江西省各县（市、区）六项污染物浓度</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均值》</w:t>
            </w:r>
            <w:r>
              <w:rPr>
                <w:rFonts w:hint="eastAsia"/>
                <w:color w:val="000000" w:themeColor="text1"/>
                <w14:textFill>
                  <w14:solidFill>
                    <w14:schemeClr w14:val="tx1"/>
                  </w14:solidFill>
                </w14:textFill>
              </w:rPr>
              <w:t>数据</w:t>
            </w:r>
            <w:r>
              <w:rPr>
                <w:color w:val="000000" w:themeColor="text1"/>
                <w14:textFill>
                  <w14:solidFill>
                    <w14:schemeClr w14:val="tx1"/>
                  </w14:solidFill>
                </w14:textFill>
              </w:rPr>
              <w:t>，区域环境空气基本因子的现状浓度结果见下表。</w:t>
            </w:r>
          </w:p>
          <w:p w14:paraId="052995E5">
            <w:pPr>
              <w:pStyle w:val="52"/>
            </w:pPr>
            <w:r>
              <w:t>基本污染物环境质量现状表</w:t>
            </w:r>
          </w:p>
          <w:tbl>
            <w:tblPr>
              <w:tblStyle w:val="28"/>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621"/>
              <w:gridCol w:w="871"/>
              <w:gridCol w:w="1806"/>
              <w:gridCol w:w="1150"/>
              <w:gridCol w:w="1599"/>
              <w:gridCol w:w="1298"/>
              <w:gridCol w:w="1298"/>
            </w:tblGrid>
            <w:tr w14:paraId="739D2E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59" w:type="pct"/>
                  <w:tcBorders>
                    <w:tl2br w:val="nil"/>
                    <w:tr2bl w:val="nil"/>
                  </w:tcBorders>
                  <w:vAlign w:val="center"/>
                </w:tcPr>
                <w:p w14:paraId="209ECD28">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地区</w:t>
                  </w:r>
                </w:p>
              </w:tc>
              <w:tc>
                <w:tcPr>
                  <w:tcW w:w="503" w:type="pct"/>
                  <w:tcBorders>
                    <w:tl2br w:val="nil"/>
                    <w:tr2bl w:val="nil"/>
                  </w:tcBorders>
                  <w:vAlign w:val="center"/>
                </w:tcPr>
                <w:p w14:paraId="44C6E027">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污染物</w:t>
                  </w:r>
                </w:p>
              </w:tc>
              <w:tc>
                <w:tcPr>
                  <w:tcW w:w="1044" w:type="pct"/>
                  <w:tcBorders>
                    <w:tl2br w:val="nil"/>
                    <w:tr2bl w:val="nil"/>
                  </w:tcBorders>
                  <w:vAlign w:val="center"/>
                </w:tcPr>
                <w:p w14:paraId="692A1E71">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年评价指标</w:t>
                  </w:r>
                </w:p>
              </w:tc>
              <w:tc>
                <w:tcPr>
                  <w:tcW w:w="665" w:type="pct"/>
                  <w:tcBorders>
                    <w:tl2br w:val="nil"/>
                    <w:tr2bl w:val="nil"/>
                  </w:tcBorders>
                  <w:vAlign w:val="center"/>
                </w:tcPr>
                <w:p w14:paraId="27398390">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评价标准/（µg/</w:t>
                  </w:r>
                  <w:r>
                    <w:t>m</w:t>
                  </w:r>
                  <w:r>
                    <w:rPr>
                      <w:vertAlign w:val="superscript"/>
                    </w:rPr>
                    <w:t>3</w:t>
                  </w:r>
                  <w:r>
                    <w:rPr>
                      <w:b/>
                      <w:bCs/>
                      <w:color w:val="000000" w:themeColor="text1"/>
                      <w:kern w:val="0"/>
                      <w:szCs w:val="21"/>
                      <w:lang w:bidi="ar"/>
                      <w14:textFill>
                        <w14:solidFill>
                          <w14:schemeClr w14:val="tx1"/>
                        </w14:solidFill>
                      </w14:textFill>
                    </w:rPr>
                    <w:t>）</w:t>
                  </w:r>
                </w:p>
              </w:tc>
              <w:tc>
                <w:tcPr>
                  <w:tcW w:w="925" w:type="pct"/>
                  <w:tcBorders>
                    <w:tl2br w:val="nil"/>
                    <w:tr2bl w:val="nil"/>
                  </w:tcBorders>
                  <w:vAlign w:val="center"/>
                </w:tcPr>
                <w:p w14:paraId="3D6D5272">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现状浓度/（µg/</w:t>
                  </w:r>
                  <w:r>
                    <w:t>m</w:t>
                  </w:r>
                  <w:r>
                    <w:rPr>
                      <w:vertAlign w:val="superscript"/>
                    </w:rPr>
                    <w:t>3</w:t>
                  </w:r>
                  <w:r>
                    <w:rPr>
                      <w:b/>
                      <w:bCs/>
                      <w:color w:val="000000" w:themeColor="text1"/>
                      <w:kern w:val="0"/>
                      <w:szCs w:val="21"/>
                      <w:lang w:bidi="ar"/>
                      <w14:textFill>
                        <w14:solidFill>
                          <w14:schemeClr w14:val="tx1"/>
                        </w14:solidFill>
                      </w14:textFill>
                    </w:rPr>
                    <w:t>）</w:t>
                  </w:r>
                </w:p>
              </w:tc>
              <w:tc>
                <w:tcPr>
                  <w:tcW w:w="750" w:type="pct"/>
                  <w:tcBorders>
                    <w:tl2br w:val="nil"/>
                    <w:tr2bl w:val="nil"/>
                  </w:tcBorders>
                  <w:vAlign w:val="center"/>
                </w:tcPr>
                <w:p w14:paraId="096958E4">
                  <w:pPr>
                    <w:widowControl/>
                    <w:jc w:val="center"/>
                    <w:textAlignment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占标率</w:t>
                  </w:r>
                </w:p>
              </w:tc>
              <w:tc>
                <w:tcPr>
                  <w:tcW w:w="750" w:type="pct"/>
                  <w:tcBorders>
                    <w:tl2br w:val="nil"/>
                    <w:tr2bl w:val="nil"/>
                  </w:tcBorders>
                  <w:vAlign w:val="center"/>
                </w:tcPr>
                <w:p w14:paraId="0773B9E4">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达标情况</w:t>
                  </w:r>
                </w:p>
              </w:tc>
            </w:tr>
            <w:tr w14:paraId="2BEADD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59" w:type="pct"/>
                  <w:vMerge w:val="restart"/>
                  <w:tcBorders>
                    <w:tl2br w:val="nil"/>
                    <w:tr2bl w:val="nil"/>
                  </w:tcBorders>
                  <w:vAlign w:val="center"/>
                </w:tcPr>
                <w:p w14:paraId="6AD4BC09">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宁都县</w:t>
                  </w:r>
                </w:p>
              </w:tc>
              <w:tc>
                <w:tcPr>
                  <w:tcW w:w="503" w:type="pct"/>
                  <w:tcBorders>
                    <w:tl2br w:val="nil"/>
                    <w:tr2bl w:val="nil"/>
                  </w:tcBorders>
                  <w:vAlign w:val="center"/>
                </w:tcPr>
                <w:p w14:paraId="5B4BE144">
                  <w:pPr>
                    <w:jc w:val="center"/>
                    <w:rPr>
                      <w:szCs w:val="21"/>
                    </w:rPr>
                  </w:pPr>
                  <w:r>
                    <w:rPr>
                      <w:kern w:val="0"/>
                      <w:szCs w:val="21"/>
                    </w:rPr>
                    <w:t>PM</w:t>
                  </w:r>
                  <w:r>
                    <w:rPr>
                      <w:kern w:val="0"/>
                      <w:szCs w:val="21"/>
                      <w:vertAlign w:val="subscript"/>
                    </w:rPr>
                    <w:t>10</w:t>
                  </w:r>
                </w:p>
              </w:tc>
              <w:tc>
                <w:tcPr>
                  <w:tcW w:w="1044" w:type="pct"/>
                  <w:tcBorders>
                    <w:tl2br w:val="nil"/>
                    <w:tr2bl w:val="nil"/>
                  </w:tcBorders>
                  <w:vAlign w:val="center"/>
                </w:tcPr>
                <w:p w14:paraId="7488C72C">
                  <w:pPr>
                    <w:jc w:val="center"/>
                  </w:pPr>
                  <w:r>
                    <w:rPr>
                      <w:kern w:val="0"/>
                      <w:szCs w:val="21"/>
                    </w:rPr>
                    <w:t>年</w:t>
                  </w:r>
                  <w:r>
                    <w:rPr>
                      <w:kern w:val="0"/>
                      <w:szCs w:val="21"/>
                    </w:rPr>
                    <w:cr/>
                  </w:r>
                  <w:r>
                    <w:rPr>
                      <w:kern w:val="0"/>
                      <w:szCs w:val="21"/>
                    </w:rPr>
                    <w:t>均质量浓度</w:t>
                  </w:r>
                </w:p>
              </w:tc>
              <w:tc>
                <w:tcPr>
                  <w:tcW w:w="665" w:type="pct"/>
                  <w:tcBorders>
                    <w:tl2br w:val="nil"/>
                    <w:tr2bl w:val="nil"/>
                  </w:tcBorders>
                  <w:vAlign w:val="center"/>
                </w:tcPr>
                <w:p w14:paraId="53580E44">
                  <w:pPr>
                    <w:jc w:val="center"/>
                  </w:pPr>
                  <w:r>
                    <w:rPr>
                      <w:rFonts w:hint="eastAsia"/>
                      <w:kern w:val="0"/>
                      <w:szCs w:val="21"/>
                    </w:rPr>
                    <w:t>7</w:t>
                  </w:r>
                  <w:r>
                    <w:rPr>
                      <w:kern w:val="0"/>
                      <w:szCs w:val="21"/>
                    </w:rPr>
                    <w:t>0</w:t>
                  </w:r>
                </w:p>
              </w:tc>
              <w:tc>
                <w:tcPr>
                  <w:tcW w:w="925" w:type="pct"/>
                  <w:tcBorders>
                    <w:tl2br w:val="nil"/>
                    <w:tr2bl w:val="nil"/>
                  </w:tcBorders>
                  <w:vAlign w:val="center"/>
                </w:tcPr>
                <w:p w14:paraId="16F18C39">
                  <w:pPr>
                    <w:jc w:val="center"/>
                    <w:rPr>
                      <w:rFonts w:hint="default" w:eastAsia="宋体"/>
                      <w:lang w:val="en-US" w:eastAsia="zh-CN"/>
                    </w:rPr>
                  </w:pPr>
                  <w:r>
                    <w:rPr>
                      <w:rFonts w:hint="eastAsia"/>
                      <w:kern w:val="0"/>
                      <w:szCs w:val="21"/>
                      <w:lang w:val="en-US" w:eastAsia="zh-CN"/>
                    </w:rPr>
                    <w:t>37</w:t>
                  </w:r>
                </w:p>
              </w:tc>
              <w:tc>
                <w:tcPr>
                  <w:tcW w:w="1298" w:type="dxa"/>
                  <w:tcBorders>
                    <w:tl2br w:val="nil"/>
                    <w:tr2bl w:val="nil"/>
                  </w:tcBorders>
                  <w:vAlign w:val="center"/>
                </w:tcPr>
                <w:p w14:paraId="4588963B">
                  <w:pPr>
                    <w:pStyle w:val="38"/>
                    <w:bidi w:val="0"/>
                    <w:ind w:left="0" w:leftChars="0" w:right="0" w:rightChars="0" w:firstLine="0" w:firstLineChars="0"/>
                    <w:jc w:val="center"/>
                  </w:pPr>
                  <w:r>
                    <w:rPr>
                      <w:rFonts w:hint="default"/>
                      <w:lang w:val="en-US" w:eastAsia="zh-CN"/>
                    </w:rPr>
                    <w:t>61.67%</w:t>
                  </w:r>
                </w:p>
              </w:tc>
              <w:tc>
                <w:tcPr>
                  <w:tcW w:w="750" w:type="pct"/>
                  <w:tcBorders>
                    <w:tl2br w:val="nil"/>
                    <w:tr2bl w:val="nil"/>
                  </w:tcBorders>
                  <w:vAlign w:val="center"/>
                </w:tcPr>
                <w:p w14:paraId="7C206A68">
                  <w:pPr>
                    <w:jc w:val="center"/>
                  </w:pPr>
                  <w:r>
                    <w:rPr>
                      <w:kern w:val="0"/>
                      <w:szCs w:val="21"/>
                    </w:rPr>
                    <w:t>达标</w:t>
                  </w:r>
                </w:p>
              </w:tc>
            </w:tr>
            <w:tr w14:paraId="729856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59" w:type="pct"/>
                  <w:vMerge w:val="continue"/>
                  <w:tcBorders>
                    <w:tl2br w:val="nil"/>
                    <w:tr2bl w:val="nil"/>
                  </w:tcBorders>
                  <w:vAlign w:val="center"/>
                </w:tcPr>
                <w:p w14:paraId="1808D13C">
                  <w:pPr>
                    <w:widowControl/>
                    <w:jc w:val="center"/>
                    <w:textAlignment w:val="center"/>
                    <w:rPr>
                      <w:color w:val="000000" w:themeColor="text1"/>
                      <w:szCs w:val="21"/>
                      <w14:textFill>
                        <w14:solidFill>
                          <w14:schemeClr w14:val="tx1"/>
                        </w14:solidFill>
                      </w14:textFill>
                    </w:rPr>
                  </w:pPr>
                </w:p>
              </w:tc>
              <w:tc>
                <w:tcPr>
                  <w:tcW w:w="503" w:type="pct"/>
                  <w:tcBorders>
                    <w:tl2br w:val="nil"/>
                    <w:tr2bl w:val="nil"/>
                  </w:tcBorders>
                  <w:vAlign w:val="center"/>
                </w:tcPr>
                <w:p w14:paraId="3B8F5DCA">
                  <w:pPr>
                    <w:jc w:val="center"/>
                    <w:rPr>
                      <w:szCs w:val="21"/>
                    </w:rPr>
                  </w:pPr>
                  <w:r>
                    <w:rPr>
                      <w:kern w:val="0"/>
                      <w:szCs w:val="21"/>
                    </w:rPr>
                    <w:t>P</w:t>
                  </w:r>
                  <w:r>
                    <w:rPr>
                      <w:rFonts w:hint="eastAsia"/>
                    </w:rPr>
                    <w:t>M</w:t>
                  </w:r>
                  <w:r>
                    <w:rPr>
                      <w:rFonts w:hint="eastAsia"/>
                      <w:vertAlign w:val="subscript"/>
                    </w:rPr>
                    <w:t>2.5</w:t>
                  </w:r>
                </w:p>
              </w:tc>
              <w:tc>
                <w:tcPr>
                  <w:tcW w:w="1044" w:type="pct"/>
                  <w:tcBorders>
                    <w:tl2br w:val="nil"/>
                    <w:tr2bl w:val="nil"/>
                  </w:tcBorders>
                  <w:vAlign w:val="center"/>
                </w:tcPr>
                <w:p w14:paraId="6059A076">
                  <w:pPr>
                    <w:jc w:val="center"/>
                  </w:pPr>
                  <w:r>
                    <w:rPr>
                      <w:kern w:val="0"/>
                      <w:szCs w:val="21"/>
                    </w:rPr>
                    <w:t>年平均质量浓度</w:t>
                  </w:r>
                </w:p>
              </w:tc>
              <w:tc>
                <w:tcPr>
                  <w:tcW w:w="665" w:type="pct"/>
                  <w:tcBorders>
                    <w:tl2br w:val="nil"/>
                    <w:tr2bl w:val="nil"/>
                  </w:tcBorders>
                  <w:vAlign w:val="center"/>
                </w:tcPr>
                <w:p w14:paraId="070E8B8D">
                  <w:pPr>
                    <w:jc w:val="center"/>
                  </w:pPr>
                  <w:r>
                    <w:rPr>
                      <w:rFonts w:hint="eastAsia"/>
                      <w:kern w:val="0"/>
                      <w:szCs w:val="21"/>
                    </w:rPr>
                    <w:t>35</w:t>
                  </w:r>
                </w:p>
              </w:tc>
              <w:tc>
                <w:tcPr>
                  <w:tcW w:w="925" w:type="pct"/>
                  <w:tcBorders>
                    <w:tl2br w:val="nil"/>
                    <w:tr2bl w:val="nil"/>
                  </w:tcBorders>
                  <w:vAlign w:val="center"/>
                </w:tcPr>
                <w:p w14:paraId="3AD50814">
                  <w:pPr>
                    <w:jc w:val="center"/>
                    <w:rPr>
                      <w:rFonts w:hint="default" w:eastAsia="宋体"/>
                      <w:lang w:val="en-US" w:eastAsia="zh-CN"/>
                    </w:rPr>
                  </w:pPr>
                  <w:r>
                    <w:rPr>
                      <w:rFonts w:hint="eastAsia"/>
                      <w:kern w:val="0"/>
                      <w:szCs w:val="21"/>
                      <w:lang w:val="en-US" w:eastAsia="zh-CN"/>
                    </w:rPr>
                    <w:t>16</w:t>
                  </w:r>
                </w:p>
              </w:tc>
              <w:tc>
                <w:tcPr>
                  <w:tcW w:w="1298" w:type="dxa"/>
                  <w:tcBorders>
                    <w:tl2br w:val="nil"/>
                    <w:tr2bl w:val="nil"/>
                  </w:tcBorders>
                  <w:vAlign w:val="center"/>
                </w:tcPr>
                <w:p w14:paraId="77EF6D33">
                  <w:pPr>
                    <w:pStyle w:val="38"/>
                    <w:bidi w:val="0"/>
                    <w:ind w:left="0" w:leftChars="0" w:right="0" w:rightChars="0" w:firstLine="0" w:firstLineChars="0"/>
                    <w:jc w:val="center"/>
                  </w:pPr>
                  <w:r>
                    <w:rPr>
                      <w:rFonts w:hint="default"/>
                      <w:lang w:val="en-US" w:eastAsia="zh-CN"/>
                    </w:rPr>
                    <w:t>40.00%</w:t>
                  </w:r>
                </w:p>
              </w:tc>
              <w:tc>
                <w:tcPr>
                  <w:tcW w:w="750" w:type="pct"/>
                  <w:tcBorders>
                    <w:tl2br w:val="nil"/>
                    <w:tr2bl w:val="nil"/>
                  </w:tcBorders>
                  <w:vAlign w:val="center"/>
                </w:tcPr>
                <w:p w14:paraId="440CCE23">
                  <w:pPr>
                    <w:jc w:val="center"/>
                  </w:pPr>
                  <w:r>
                    <w:rPr>
                      <w:kern w:val="0"/>
                      <w:szCs w:val="21"/>
                    </w:rPr>
                    <w:t>达标</w:t>
                  </w:r>
                </w:p>
              </w:tc>
            </w:tr>
            <w:tr w14:paraId="1379C0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59" w:type="pct"/>
                  <w:vMerge w:val="continue"/>
                  <w:tcBorders>
                    <w:tl2br w:val="nil"/>
                    <w:tr2bl w:val="nil"/>
                  </w:tcBorders>
                  <w:vAlign w:val="center"/>
                </w:tcPr>
                <w:p w14:paraId="4DF7C7A7">
                  <w:pPr>
                    <w:widowControl/>
                    <w:jc w:val="center"/>
                    <w:textAlignment w:val="center"/>
                    <w:rPr>
                      <w:color w:val="000000" w:themeColor="text1"/>
                      <w:szCs w:val="21"/>
                      <w14:textFill>
                        <w14:solidFill>
                          <w14:schemeClr w14:val="tx1"/>
                        </w14:solidFill>
                      </w14:textFill>
                    </w:rPr>
                  </w:pPr>
                </w:p>
              </w:tc>
              <w:tc>
                <w:tcPr>
                  <w:tcW w:w="503" w:type="pct"/>
                  <w:tcBorders>
                    <w:tl2br w:val="nil"/>
                    <w:tr2bl w:val="nil"/>
                  </w:tcBorders>
                  <w:vAlign w:val="center"/>
                </w:tcPr>
                <w:p w14:paraId="1D623836">
                  <w:pPr>
                    <w:jc w:val="center"/>
                    <w:rPr>
                      <w:szCs w:val="21"/>
                    </w:rPr>
                  </w:pPr>
                  <w:r>
                    <w:rPr>
                      <w:kern w:val="0"/>
                      <w:szCs w:val="21"/>
                    </w:rPr>
                    <w:t>SO</w:t>
                  </w:r>
                  <w:r>
                    <w:rPr>
                      <w:kern w:val="0"/>
                      <w:szCs w:val="21"/>
                      <w:vertAlign w:val="subscript"/>
                    </w:rPr>
                    <w:t>2</w:t>
                  </w:r>
                </w:p>
              </w:tc>
              <w:tc>
                <w:tcPr>
                  <w:tcW w:w="1044" w:type="pct"/>
                  <w:tcBorders>
                    <w:tl2br w:val="nil"/>
                    <w:tr2bl w:val="nil"/>
                  </w:tcBorders>
                  <w:vAlign w:val="center"/>
                </w:tcPr>
                <w:p w14:paraId="19B16DB2">
                  <w:pPr>
                    <w:jc w:val="center"/>
                  </w:pPr>
                  <w:r>
                    <w:rPr>
                      <w:rFonts w:hint="eastAsia"/>
                      <w:kern w:val="0"/>
                      <w:szCs w:val="21"/>
                    </w:rPr>
                    <w:t>年平均</w:t>
                  </w:r>
                  <w:r>
                    <w:rPr>
                      <w:kern w:val="0"/>
                      <w:szCs w:val="21"/>
                    </w:rPr>
                    <w:t>质量浓度</w:t>
                  </w:r>
                </w:p>
              </w:tc>
              <w:tc>
                <w:tcPr>
                  <w:tcW w:w="665" w:type="pct"/>
                  <w:tcBorders>
                    <w:tl2br w:val="nil"/>
                    <w:tr2bl w:val="nil"/>
                  </w:tcBorders>
                  <w:vAlign w:val="center"/>
                </w:tcPr>
                <w:p w14:paraId="0E233AAD">
                  <w:pPr>
                    <w:jc w:val="center"/>
                  </w:pPr>
                  <w:r>
                    <w:rPr>
                      <w:rFonts w:hint="eastAsia"/>
                      <w:kern w:val="0"/>
                      <w:szCs w:val="21"/>
                    </w:rPr>
                    <w:t>60</w:t>
                  </w:r>
                </w:p>
              </w:tc>
              <w:tc>
                <w:tcPr>
                  <w:tcW w:w="925" w:type="pct"/>
                  <w:tcBorders>
                    <w:tl2br w:val="nil"/>
                    <w:tr2bl w:val="nil"/>
                  </w:tcBorders>
                  <w:vAlign w:val="center"/>
                </w:tcPr>
                <w:p w14:paraId="28311384">
                  <w:pPr>
                    <w:jc w:val="center"/>
                    <w:rPr>
                      <w:rFonts w:hint="eastAsia" w:eastAsia="宋体"/>
                      <w:lang w:eastAsia="zh-CN"/>
                    </w:rPr>
                  </w:pPr>
                  <w:r>
                    <w:rPr>
                      <w:rFonts w:hint="eastAsia"/>
                      <w:kern w:val="0"/>
                      <w:szCs w:val="21"/>
                      <w:lang w:val="en-US" w:eastAsia="zh-CN"/>
                    </w:rPr>
                    <w:t>4</w:t>
                  </w:r>
                </w:p>
              </w:tc>
              <w:tc>
                <w:tcPr>
                  <w:tcW w:w="1298" w:type="dxa"/>
                  <w:tcBorders>
                    <w:tl2br w:val="nil"/>
                    <w:tr2bl w:val="nil"/>
                  </w:tcBorders>
                  <w:vAlign w:val="center"/>
                </w:tcPr>
                <w:p w14:paraId="329EAC62">
                  <w:pPr>
                    <w:pStyle w:val="38"/>
                    <w:bidi w:val="0"/>
                    <w:ind w:left="0" w:leftChars="0" w:right="0" w:rightChars="0" w:firstLine="0" w:firstLineChars="0"/>
                    <w:jc w:val="center"/>
                  </w:pPr>
                  <w:r>
                    <w:rPr>
                      <w:rFonts w:hint="default"/>
                      <w:lang w:val="en-US" w:eastAsia="zh-CN"/>
                    </w:rPr>
                    <w:t>5.71%</w:t>
                  </w:r>
                </w:p>
              </w:tc>
              <w:tc>
                <w:tcPr>
                  <w:tcW w:w="750" w:type="pct"/>
                  <w:tcBorders>
                    <w:tl2br w:val="nil"/>
                    <w:tr2bl w:val="nil"/>
                  </w:tcBorders>
                  <w:vAlign w:val="center"/>
                </w:tcPr>
                <w:p w14:paraId="49BF3ACD">
                  <w:pPr>
                    <w:jc w:val="center"/>
                  </w:pPr>
                  <w:r>
                    <w:rPr>
                      <w:kern w:val="0"/>
                      <w:szCs w:val="21"/>
                    </w:rPr>
                    <w:t>达标</w:t>
                  </w:r>
                </w:p>
              </w:tc>
            </w:tr>
            <w:tr w14:paraId="0E31CC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59" w:type="pct"/>
                  <w:vMerge w:val="continue"/>
                  <w:tcBorders>
                    <w:tl2br w:val="nil"/>
                    <w:tr2bl w:val="nil"/>
                  </w:tcBorders>
                  <w:vAlign w:val="center"/>
                </w:tcPr>
                <w:p w14:paraId="3DC8E388">
                  <w:pPr>
                    <w:widowControl/>
                    <w:jc w:val="center"/>
                    <w:textAlignment w:val="center"/>
                    <w:rPr>
                      <w:color w:val="000000" w:themeColor="text1"/>
                      <w:szCs w:val="21"/>
                      <w14:textFill>
                        <w14:solidFill>
                          <w14:schemeClr w14:val="tx1"/>
                        </w14:solidFill>
                      </w14:textFill>
                    </w:rPr>
                  </w:pPr>
                </w:p>
              </w:tc>
              <w:tc>
                <w:tcPr>
                  <w:tcW w:w="503" w:type="pct"/>
                  <w:tcBorders>
                    <w:tl2br w:val="nil"/>
                    <w:tr2bl w:val="nil"/>
                  </w:tcBorders>
                  <w:vAlign w:val="center"/>
                </w:tcPr>
                <w:p w14:paraId="64021EC3">
                  <w:pPr>
                    <w:jc w:val="center"/>
                    <w:rPr>
                      <w:szCs w:val="21"/>
                    </w:rPr>
                  </w:pPr>
                  <w:r>
                    <w:rPr>
                      <w:kern w:val="0"/>
                      <w:szCs w:val="21"/>
                    </w:rPr>
                    <w:t>NO</w:t>
                  </w:r>
                  <w:r>
                    <w:rPr>
                      <w:kern w:val="0"/>
                      <w:szCs w:val="21"/>
                      <w:vertAlign w:val="subscript"/>
                    </w:rPr>
                    <w:t>2</w:t>
                  </w:r>
                </w:p>
              </w:tc>
              <w:tc>
                <w:tcPr>
                  <w:tcW w:w="1044" w:type="pct"/>
                  <w:tcBorders>
                    <w:tl2br w:val="nil"/>
                    <w:tr2bl w:val="nil"/>
                  </w:tcBorders>
                  <w:vAlign w:val="center"/>
                </w:tcPr>
                <w:p w14:paraId="01255FBF">
                  <w:pPr>
                    <w:jc w:val="center"/>
                  </w:pPr>
                  <w:r>
                    <w:rPr>
                      <w:kern w:val="0"/>
                      <w:szCs w:val="21"/>
                    </w:rPr>
                    <w:t>年平均质量</w:t>
                  </w:r>
                  <w:r>
                    <w:rPr>
                      <w:kern w:val="0"/>
                      <w:szCs w:val="21"/>
                    </w:rPr>
                    <w:cr/>
                  </w:r>
                  <w:r>
                    <w:rPr>
                      <w:kern w:val="0"/>
                      <w:szCs w:val="21"/>
                    </w:rPr>
                    <w:t>度</w:t>
                  </w:r>
                </w:p>
              </w:tc>
              <w:tc>
                <w:tcPr>
                  <w:tcW w:w="665" w:type="pct"/>
                  <w:tcBorders>
                    <w:tl2br w:val="nil"/>
                    <w:tr2bl w:val="nil"/>
                  </w:tcBorders>
                  <w:vAlign w:val="center"/>
                </w:tcPr>
                <w:p w14:paraId="7333FB63">
                  <w:pPr>
                    <w:jc w:val="center"/>
                  </w:pPr>
                  <w:r>
                    <w:rPr>
                      <w:rFonts w:hint="eastAsia"/>
                      <w:kern w:val="0"/>
                      <w:szCs w:val="21"/>
                    </w:rPr>
                    <w:t>40</w:t>
                  </w:r>
                </w:p>
              </w:tc>
              <w:tc>
                <w:tcPr>
                  <w:tcW w:w="925" w:type="pct"/>
                  <w:tcBorders>
                    <w:tl2br w:val="nil"/>
                    <w:tr2bl w:val="nil"/>
                  </w:tcBorders>
                  <w:vAlign w:val="center"/>
                </w:tcPr>
                <w:p w14:paraId="3ACC74C3">
                  <w:pPr>
                    <w:jc w:val="center"/>
                    <w:rPr>
                      <w:rFonts w:hint="default" w:eastAsia="宋体"/>
                      <w:lang w:val="en-US" w:eastAsia="zh-CN"/>
                    </w:rPr>
                  </w:pPr>
                  <w:r>
                    <w:rPr>
                      <w:rFonts w:hint="eastAsia"/>
                      <w:kern w:val="0"/>
                      <w:szCs w:val="21"/>
                      <w:lang w:val="en-US" w:eastAsia="zh-CN"/>
                    </w:rPr>
                    <w:t>13</w:t>
                  </w:r>
                </w:p>
              </w:tc>
              <w:tc>
                <w:tcPr>
                  <w:tcW w:w="1298" w:type="dxa"/>
                  <w:tcBorders>
                    <w:tl2br w:val="nil"/>
                    <w:tr2bl w:val="nil"/>
                  </w:tcBorders>
                  <w:vAlign w:val="center"/>
                </w:tcPr>
                <w:p w14:paraId="778568C3">
                  <w:pPr>
                    <w:pStyle w:val="38"/>
                    <w:bidi w:val="0"/>
                    <w:ind w:left="0" w:leftChars="0" w:right="0" w:rightChars="0" w:firstLine="0" w:firstLineChars="0"/>
                    <w:jc w:val="center"/>
                  </w:pPr>
                  <w:r>
                    <w:rPr>
                      <w:rFonts w:hint="default"/>
                      <w:lang w:val="en-US" w:eastAsia="zh-CN"/>
                    </w:rPr>
                    <w:t>37.14%</w:t>
                  </w:r>
                </w:p>
              </w:tc>
              <w:tc>
                <w:tcPr>
                  <w:tcW w:w="750" w:type="pct"/>
                  <w:tcBorders>
                    <w:tl2br w:val="nil"/>
                    <w:tr2bl w:val="nil"/>
                  </w:tcBorders>
                  <w:vAlign w:val="center"/>
                </w:tcPr>
                <w:p w14:paraId="05424AB5">
                  <w:pPr>
                    <w:jc w:val="center"/>
                  </w:pPr>
                  <w:r>
                    <w:rPr>
                      <w:kern w:val="0"/>
                      <w:szCs w:val="21"/>
                    </w:rPr>
                    <w:t>达</w:t>
                  </w:r>
                  <w:r>
                    <w:rPr>
                      <w:rFonts w:hint="eastAsia"/>
                      <w:kern w:val="0"/>
                      <w:szCs w:val="21"/>
                    </w:rPr>
                    <w:t>标</w:t>
                  </w:r>
                </w:p>
              </w:tc>
            </w:tr>
            <w:tr w14:paraId="2B3E6E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59" w:type="pct"/>
                  <w:vMerge w:val="continue"/>
                  <w:tcBorders>
                    <w:tl2br w:val="nil"/>
                    <w:tr2bl w:val="nil"/>
                  </w:tcBorders>
                  <w:vAlign w:val="center"/>
                </w:tcPr>
                <w:p w14:paraId="294B3A34">
                  <w:pPr>
                    <w:widowControl/>
                    <w:jc w:val="center"/>
                    <w:textAlignment w:val="center"/>
                    <w:rPr>
                      <w:color w:val="000000" w:themeColor="text1"/>
                      <w:szCs w:val="21"/>
                      <w14:textFill>
                        <w14:solidFill>
                          <w14:schemeClr w14:val="tx1"/>
                        </w14:solidFill>
                      </w14:textFill>
                    </w:rPr>
                  </w:pPr>
                </w:p>
              </w:tc>
              <w:tc>
                <w:tcPr>
                  <w:tcW w:w="503" w:type="pct"/>
                  <w:tcBorders>
                    <w:tl2br w:val="nil"/>
                    <w:tr2bl w:val="nil"/>
                  </w:tcBorders>
                  <w:vAlign w:val="center"/>
                </w:tcPr>
                <w:p w14:paraId="6B2DE8D1">
                  <w:pPr>
                    <w:jc w:val="center"/>
                    <w:rPr>
                      <w:szCs w:val="21"/>
                    </w:rPr>
                  </w:pPr>
                  <w:r>
                    <w:rPr>
                      <w:rFonts w:hint="eastAsia"/>
                      <w:kern w:val="0"/>
                      <w:szCs w:val="21"/>
                    </w:rPr>
                    <w:t>CO</w:t>
                  </w:r>
                </w:p>
              </w:tc>
              <w:tc>
                <w:tcPr>
                  <w:tcW w:w="1044" w:type="pct"/>
                  <w:tcBorders>
                    <w:tl2br w:val="nil"/>
                    <w:tr2bl w:val="nil"/>
                  </w:tcBorders>
                  <w:vAlign w:val="center"/>
                </w:tcPr>
                <w:p w14:paraId="02C4A4A4">
                  <w:pPr>
                    <w:jc w:val="center"/>
                  </w:pPr>
                  <w:r>
                    <w:rPr>
                      <w:kern w:val="0"/>
                      <w:szCs w:val="21"/>
                    </w:rPr>
                    <w:t>95%百分位数24小时</w:t>
                  </w:r>
                  <w:r>
                    <w:rPr>
                      <w:rFonts w:hint="eastAsia"/>
                      <w:kern w:val="0"/>
                      <w:szCs w:val="21"/>
                    </w:rPr>
                    <w:t>日</w:t>
                  </w:r>
                  <w:r>
                    <w:rPr>
                      <w:kern w:val="0"/>
                      <w:szCs w:val="21"/>
                    </w:rPr>
                    <w:t>均</w:t>
                  </w:r>
                </w:p>
              </w:tc>
              <w:tc>
                <w:tcPr>
                  <w:tcW w:w="665" w:type="pct"/>
                  <w:tcBorders>
                    <w:tl2br w:val="nil"/>
                    <w:tr2bl w:val="nil"/>
                  </w:tcBorders>
                  <w:vAlign w:val="center"/>
                </w:tcPr>
                <w:p w14:paraId="6B04928B">
                  <w:pPr>
                    <w:jc w:val="center"/>
                  </w:pPr>
                  <w:r>
                    <w:rPr>
                      <w:kern w:val="0"/>
                      <w:szCs w:val="21"/>
                    </w:rPr>
                    <w:t>4 mg/</w:t>
                  </w:r>
                  <w:r>
                    <w:t>m</w:t>
                  </w:r>
                  <w:r>
                    <w:rPr>
                      <w:vertAlign w:val="superscript"/>
                    </w:rPr>
                    <w:t>3</w:t>
                  </w:r>
                </w:p>
              </w:tc>
              <w:tc>
                <w:tcPr>
                  <w:tcW w:w="925" w:type="pct"/>
                  <w:tcBorders>
                    <w:tl2br w:val="nil"/>
                    <w:tr2bl w:val="nil"/>
                  </w:tcBorders>
                  <w:vAlign w:val="center"/>
                </w:tcPr>
                <w:p w14:paraId="6E71C8F3">
                  <w:pPr>
                    <w:jc w:val="center"/>
                  </w:pPr>
                  <w:r>
                    <w:rPr>
                      <w:rFonts w:hint="eastAsia"/>
                      <w:kern w:val="0"/>
                      <w:szCs w:val="21"/>
                    </w:rPr>
                    <w:t>1.2m</w:t>
                  </w:r>
                  <w:r>
                    <w:rPr>
                      <w:kern w:val="0"/>
                      <w:szCs w:val="21"/>
                    </w:rPr>
                    <w:t>g/m³</w:t>
                  </w:r>
                </w:p>
              </w:tc>
              <w:tc>
                <w:tcPr>
                  <w:tcW w:w="1298" w:type="dxa"/>
                  <w:tcBorders>
                    <w:tl2br w:val="nil"/>
                    <w:tr2bl w:val="nil"/>
                  </w:tcBorders>
                  <w:vAlign w:val="center"/>
                </w:tcPr>
                <w:p w14:paraId="273764D0">
                  <w:pPr>
                    <w:pStyle w:val="38"/>
                    <w:bidi w:val="0"/>
                    <w:ind w:left="0" w:leftChars="0" w:right="0" w:rightChars="0" w:firstLine="0" w:firstLineChars="0"/>
                    <w:jc w:val="center"/>
                  </w:pPr>
                  <w:r>
                    <w:rPr>
                      <w:rFonts w:hint="default"/>
                      <w:lang w:val="en-US" w:eastAsia="zh-CN"/>
                    </w:rPr>
                    <w:t>30.00%</w:t>
                  </w:r>
                </w:p>
              </w:tc>
              <w:tc>
                <w:tcPr>
                  <w:tcW w:w="750" w:type="pct"/>
                  <w:tcBorders>
                    <w:tl2br w:val="nil"/>
                    <w:tr2bl w:val="nil"/>
                  </w:tcBorders>
                  <w:vAlign w:val="center"/>
                </w:tcPr>
                <w:p w14:paraId="5CB3F73D">
                  <w:pPr>
                    <w:jc w:val="center"/>
                  </w:pPr>
                  <w:r>
                    <w:rPr>
                      <w:kern w:val="0"/>
                      <w:szCs w:val="21"/>
                    </w:rPr>
                    <w:t>达标</w:t>
                  </w:r>
                </w:p>
              </w:tc>
            </w:tr>
            <w:tr w14:paraId="643F79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59" w:type="pct"/>
                  <w:vMerge w:val="continue"/>
                  <w:tcBorders>
                    <w:tl2br w:val="nil"/>
                    <w:tr2bl w:val="nil"/>
                  </w:tcBorders>
                  <w:vAlign w:val="center"/>
                </w:tcPr>
                <w:p w14:paraId="14E3F49B">
                  <w:pPr>
                    <w:widowControl/>
                    <w:jc w:val="center"/>
                    <w:textAlignment w:val="center"/>
                    <w:rPr>
                      <w:color w:val="000000" w:themeColor="text1"/>
                      <w:szCs w:val="21"/>
                      <w14:textFill>
                        <w14:solidFill>
                          <w14:schemeClr w14:val="tx1"/>
                        </w14:solidFill>
                      </w14:textFill>
                    </w:rPr>
                  </w:pPr>
                </w:p>
              </w:tc>
              <w:tc>
                <w:tcPr>
                  <w:tcW w:w="503" w:type="pct"/>
                  <w:tcBorders>
                    <w:tl2br w:val="nil"/>
                    <w:tr2bl w:val="nil"/>
                  </w:tcBorders>
                  <w:vAlign w:val="center"/>
                </w:tcPr>
                <w:p w14:paraId="4BC461E6">
                  <w:pPr>
                    <w:jc w:val="center"/>
                    <w:rPr>
                      <w:szCs w:val="21"/>
                    </w:rPr>
                  </w:pPr>
                  <w:r>
                    <w:rPr>
                      <w:kern w:val="0"/>
                      <w:szCs w:val="21"/>
                    </w:rPr>
                    <w:t>O</w:t>
                  </w:r>
                  <w:r>
                    <w:rPr>
                      <w:kern w:val="0"/>
                      <w:szCs w:val="21"/>
                      <w:vertAlign w:val="subscript"/>
                    </w:rPr>
                    <w:t>3</w:t>
                  </w:r>
                </w:p>
              </w:tc>
              <w:tc>
                <w:tcPr>
                  <w:tcW w:w="1044" w:type="pct"/>
                  <w:tcBorders>
                    <w:tl2br w:val="nil"/>
                    <w:tr2bl w:val="nil"/>
                  </w:tcBorders>
                  <w:vAlign w:val="center"/>
                </w:tcPr>
                <w:p w14:paraId="138AFB84">
                  <w:pPr>
                    <w:jc w:val="center"/>
                  </w:pPr>
                  <w:r>
                    <w:rPr>
                      <w:kern w:val="0"/>
                      <w:szCs w:val="21"/>
                    </w:rPr>
                    <w:t>90%百分位数日最大8小时平均</w:t>
                  </w:r>
                </w:p>
              </w:tc>
              <w:tc>
                <w:tcPr>
                  <w:tcW w:w="665" w:type="pct"/>
                  <w:tcBorders>
                    <w:tl2br w:val="nil"/>
                    <w:tr2bl w:val="nil"/>
                  </w:tcBorders>
                  <w:vAlign w:val="center"/>
                </w:tcPr>
                <w:p w14:paraId="18EFEAC9">
                  <w:pPr>
                    <w:jc w:val="center"/>
                  </w:pPr>
                  <w:r>
                    <w:rPr>
                      <w:kern w:val="0"/>
                      <w:szCs w:val="21"/>
                    </w:rPr>
                    <w:t>160</w:t>
                  </w:r>
                </w:p>
              </w:tc>
              <w:tc>
                <w:tcPr>
                  <w:tcW w:w="925" w:type="pct"/>
                  <w:tcBorders>
                    <w:tl2br w:val="nil"/>
                    <w:tr2bl w:val="nil"/>
                  </w:tcBorders>
                  <w:vAlign w:val="center"/>
                </w:tcPr>
                <w:p w14:paraId="163F1891">
                  <w:pPr>
                    <w:jc w:val="center"/>
                    <w:rPr>
                      <w:rFonts w:hint="default" w:eastAsia="宋体"/>
                      <w:lang w:val="en-US" w:eastAsia="zh-CN"/>
                    </w:rPr>
                  </w:pPr>
                  <w:r>
                    <w:rPr>
                      <w:rFonts w:hint="eastAsia"/>
                      <w:kern w:val="0"/>
                      <w:szCs w:val="21"/>
                      <w:lang w:val="en-US" w:eastAsia="zh-CN"/>
                    </w:rPr>
                    <w:t>110</w:t>
                  </w:r>
                </w:p>
              </w:tc>
              <w:tc>
                <w:tcPr>
                  <w:tcW w:w="1298" w:type="dxa"/>
                  <w:tcBorders>
                    <w:tl2br w:val="nil"/>
                    <w:tr2bl w:val="nil"/>
                  </w:tcBorders>
                  <w:vAlign w:val="center"/>
                </w:tcPr>
                <w:p w14:paraId="0961A75F">
                  <w:pPr>
                    <w:pStyle w:val="38"/>
                    <w:bidi w:val="0"/>
                    <w:ind w:left="0" w:leftChars="0" w:right="0" w:rightChars="0" w:firstLine="0" w:firstLineChars="0"/>
                    <w:jc w:val="center"/>
                  </w:pPr>
                  <w:r>
                    <w:rPr>
                      <w:rFonts w:hint="default"/>
                      <w:lang w:val="en-US" w:eastAsia="zh-CN"/>
                    </w:rPr>
                    <w:t>68.75%</w:t>
                  </w:r>
                </w:p>
              </w:tc>
              <w:tc>
                <w:tcPr>
                  <w:tcW w:w="750" w:type="pct"/>
                  <w:tcBorders>
                    <w:tl2br w:val="nil"/>
                    <w:tr2bl w:val="nil"/>
                  </w:tcBorders>
                  <w:vAlign w:val="center"/>
                </w:tcPr>
                <w:p w14:paraId="14CDB405">
                  <w:pPr>
                    <w:jc w:val="center"/>
                  </w:pPr>
                  <w:r>
                    <w:rPr>
                      <w:kern w:val="0"/>
                      <w:szCs w:val="21"/>
                    </w:rPr>
                    <w:t>达标</w:t>
                  </w:r>
                </w:p>
              </w:tc>
            </w:tr>
          </w:tbl>
          <w:p w14:paraId="2BC430E3">
            <w:pPr>
              <w:pStyle w:val="36"/>
              <w:bidi w:val="0"/>
              <w:rPr>
                <w:rFonts w:hint="default"/>
              </w:rPr>
            </w:pPr>
            <w:r>
              <w:rPr>
                <w:rFonts w:hint="default"/>
                <w:color w:val="000000" w:themeColor="text1"/>
                <w14:textFill>
                  <w14:solidFill>
                    <w14:schemeClr w14:val="tx1"/>
                  </w14:solidFill>
                </w14:textFill>
              </w:rPr>
              <w:t>由上表可知，</w:t>
            </w:r>
            <w:r>
              <w:rPr>
                <w:color w:val="000000" w:themeColor="text1"/>
                <w14:textFill>
                  <w14:solidFill>
                    <w14:schemeClr w14:val="tx1"/>
                  </w14:solidFill>
                </w14:textFill>
              </w:rPr>
              <w:t>项目所在区域</w:t>
            </w:r>
            <w:r>
              <w:rPr>
                <w:rFonts w:hint="default"/>
                <w:color w:val="000000" w:themeColor="text1"/>
                <w14:textFill>
                  <w14:solidFill>
                    <w14:schemeClr w14:val="tx1"/>
                  </w14:solidFill>
                </w14:textFill>
              </w:rPr>
              <w:t>202</w:t>
            </w:r>
            <w:r>
              <w:rPr>
                <w:color w:val="000000" w:themeColor="text1"/>
                <w14:textFill>
                  <w14:solidFill>
                    <w14:schemeClr w14:val="tx1"/>
                  </w14:solidFill>
                </w14:textFill>
              </w:rPr>
              <w:t>3</w:t>
            </w:r>
            <w:r>
              <w:rPr>
                <w:rFonts w:hint="default"/>
                <w:color w:val="000000" w:themeColor="text1"/>
                <w14:textFill>
                  <w14:solidFill>
                    <w14:schemeClr w14:val="tx1"/>
                  </w14:solidFill>
                </w14:textFill>
              </w:rPr>
              <w:t>年环境空气中SO</w:t>
            </w:r>
            <w:r>
              <w:rPr>
                <w:rFonts w:hint="default"/>
                <w:color w:val="000000" w:themeColor="text1"/>
                <w:vertAlign w:val="subscript"/>
                <w14:textFill>
                  <w14:solidFill>
                    <w14:schemeClr w14:val="tx1"/>
                  </w14:solidFill>
                </w14:textFill>
              </w:rPr>
              <w:t>2</w:t>
            </w:r>
            <w:r>
              <w:rPr>
                <w:rFonts w:hint="default"/>
                <w:color w:val="000000" w:themeColor="text1"/>
                <w14:textFill>
                  <w14:solidFill>
                    <w14:schemeClr w14:val="tx1"/>
                  </w14:solidFill>
                </w14:textFill>
              </w:rPr>
              <w:t>、NO</w:t>
            </w:r>
            <w:r>
              <w:rPr>
                <w:rFonts w:hint="default"/>
                <w:color w:val="000000" w:themeColor="text1"/>
                <w:vertAlign w:val="subscript"/>
                <w14:textFill>
                  <w14:solidFill>
                    <w14:schemeClr w14:val="tx1"/>
                  </w14:solidFill>
                </w14:textFill>
              </w:rPr>
              <w:t>2</w:t>
            </w:r>
            <w:r>
              <w:rPr>
                <w:rFonts w:hint="default"/>
                <w:color w:val="000000" w:themeColor="text1"/>
                <w14:textFill>
                  <w14:solidFill>
                    <w14:schemeClr w14:val="tx1"/>
                  </w14:solidFill>
                </w14:textFill>
              </w:rPr>
              <w:t>、CO、PM</w:t>
            </w:r>
            <w:r>
              <w:rPr>
                <w:rFonts w:hint="default"/>
                <w:color w:val="000000" w:themeColor="text1"/>
                <w:vertAlign w:val="subscript"/>
                <w14:textFill>
                  <w14:solidFill>
                    <w14:schemeClr w14:val="tx1"/>
                  </w14:solidFill>
                </w14:textFill>
              </w:rPr>
              <w:t>10</w:t>
            </w:r>
            <w:r>
              <w:rPr>
                <w:rFonts w:hint="default"/>
                <w:color w:val="000000" w:themeColor="text1"/>
                <w14:textFill>
                  <w14:solidFill>
                    <w14:schemeClr w14:val="tx1"/>
                  </w14:solidFill>
                </w14:textFill>
              </w:rPr>
              <w:t>、CO、O</w:t>
            </w:r>
            <w:r>
              <w:rPr>
                <w:rFonts w:hint="default"/>
                <w:color w:val="000000" w:themeColor="text1"/>
                <w:vertAlign w:val="subscript"/>
                <w14:textFill>
                  <w14:solidFill>
                    <w14:schemeClr w14:val="tx1"/>
                  </w14:solidFill>
                </w14:textFill>
              </w:rPr>
              <w:t>3</w:t>
            </w:r>
            <w:r>
              <w:rPr>
                <w:color w:val="000000" w:themeColor="text1"/>
                <w14:textFill>
                  <w14:solidFill>
                    <w14:schemeClr w14:val="tx1"/>
                  </w14:solidFill>
                </w14:textFill>
              </w:rPr>
              <w:t>均</w:t>
            </w:r>
            <w:r>
              <w:rPr>
                <w:rFonts w:hint="default"/>
                <w:color w:val="000000" w:themeColor="text1"/>
                <w14:textFill>
                  <w14:solidFill>
                    <w14:schemeClr w14:val="tx1"/>
                  </w14:solidFill>
                </w14:textFill>
              </w:rPr>
              <w:t>能够满足《环境空气质量标准》（GB3095-2012）</w:t>
            </w:r>
            <w:r>
              <w:rPr>
                <w:rFonts w:ascii="宋体" w:hAnsi="宋体"/>
                <w:kern w:val="0"/>
              </w:rPr>
              <w:t>及</w:t>
            </w:r>
            <w:r>
              <w:rPr>
                <w:kern w:val="0"/>
              </w:rPr>
              <w:t>2018</w:t>
            </w:r>
            <w:r>
              <w:rPr>
                <w:rFonts w:ascii="宋体" w:hAnsi="宋体"/>
                <w:kern w:val="0"/>
              </w:rPr>
              <w:t>年修改单</w:t>
            </w:r>
            <w:r>
              <w:rPr>
                <w:rFonts w:hint="default"/>
                <w:color w:val="000000" w:themeColor="text1"/>
                <w14:textFill>
                  <w14:solidFill>
                    <w14:schemeClr w14:val="tx1"/>
                  </w14:solidFill>
                </w14:textFill>
              </w:rPr>
              <w:t>中的二级标准限</w:t>
            </w:r>
            <w:r>
              <w:rPr>
                <w:rFonts w:hint="default"/>
              </w:rPr>
              <w:t>值要求</w:t>
            </w:r>
            <w:r>
              <w:t>，区域环境空气质量较好</w:t>
            </w:r>
            <w:r>
              <w:rPr>
                <w:rFonts w:hint="default"/>
              </w:rPr>
              <w:t>。</w:t>
            </w:r>
          </w:p>
          <w:p w14:paraId="0BB58EB3">
            <w:pPr>
              <w:pStyle w:val="36"/>
              <w:bidi w:val="0"/>
              <w:rPr>
                <w:rFonts w:hint="default"/>
              </w:rPr>
            </w:pPr>
            <w:r>
              <w:t>2、其他</w:t>
            </w:r>
            <w:r>
              <w:rPr>
                <w:rFonts w:hint="default"/>
              </w:rPr>
              <w:t>污染物环境质量现状评价</w:t>
            </w:r>
          </w:p>
          <w:p w14:paraId="46C5E00E">
            <w:pPr>
              <w:pStyle w:val="36"/>
              <w:bidi w:val="0"/>
              <w:rPr>
                <w:rFonts w:hint="default"/>
              </w:rPr>
            </w:pPr>
            <w:r>
              <w:rPr>
                <w:rFonts w:hint="default"/>
              </w:rPr>
              <w:t>根据“全国环评技术评估服务咨询平台（生态环境部评估中心主办）”关于“《建设项目环境影响报告表》内容、格式及编制技术指南常见问题解答”中针对报告表大气特征污染物现状监测的解释：“对《环境空气质量标准》（GB3095）和项目所在地的环境空气质量标准之外的特征污染物无需提供现状监测数据”，本项目特征污染物为硫化氢、氨等，在《环境空气质量标准》（GB3095）及江西省现行地方环境空气质量标准中没有标准限值要求，因此本次评价不对其进行现状监测。</w:t>
            </w:r>
          </w:p>
          <w:p w14:paraId="7E69CDAA">
            <w:pPr>
              <w:pStyle w:val="42"/>
              <w:widowControl/>
              <w:ind w:firstLine="482"/>
              <w:rPr>
                <w:b/>
                <w:bCs/>
                <w:color w:val="auto"/>
              </w:rPr>
            </w:pPr>
            <w:r>
              <w:rPr>
                <w:rFonts w:hint="eastAsia"/>
                <w:b/>
                <w:bCs/>
                <w:color w:val="auto"/>
              </w:rPr>
              <w:t>（二）</w:t>
            </w:r>
            <w:r>
              <w:rPr>
                <w:b/>
                <w:bCs/>
                <w:color w:val="auto"/>
              </w:rPr>
              <w:t>地表水环境</w:t>
            </w:r>
          </w:p>
          <w:p w14:paraId="24531B58">
            <w:pPr>
              <w:pStyle w:val="36"/>
              <w:ind w:firstLine="480"/>
              <w:rPr>
                <w:rFonts w:hint="default"/>
              </w:rPr>
            </w:pPr>
            <w:r>
              <w:t>根据赣州市生态环境局2024年2月6日发布的《2023年赣州市环境质量年报》，</w:t>
            </w:r>
            <w:r>
              <w:rPr>
                <w:rFonts w:hint="eastAsia"/>
                <w:lang w:val="en-US" w:eastAsia="zh-CN"/>
              </w:rPr>
              <w:t>2023年</w:t>
            </w:r>
            <w:r>
              <w:t>赣江干流断面水质优良比例为100%，总体水质为优，II类水质比例为100%；</w:t>
            </w:r>
            <w:r>
              <w:rPr>
                <w:rFonts w:hint="eastAsia"/>
                <w:lang w:val="en-US" w:eastAsia="zh-CN"/>
              </w:rPr>
              <w:t>项目所在流域</w:t>
            </w:r>
            <w:r>
              <w:rPr>
                <w:rFonts w:hint="eastAsia"/>
                <w:lang w:eastAsia="zh-CN"/>
              </w:rPr>
              <w:t>青塘河</w:t>
            </w:r>
            <w:r>
              <w:t>断面水质为优。区域地表水环境质量满足《地表水环境质量标准》（GB3838-2002）III类水质标准，即</w:t>
            </w:r>
            <w:r>
              <w:rPr>
                <w:rFonts w:hint="default"/>
              </w:rPr>
              <w:t>本项目</w:t>
            </w:r>
            <w:r>
              <w:t>所在区域地表水水环境质量状况良好。</w:t>
            </w:r>
          </w:p>
          <w:p w14:paraId="72B8435C">
            <w:pPr>
              <w:pStyle w:val="42"/>
              <w:widowControl/>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（三）</w:t>
            </w:r>
            <w:r>
              <w:rPr>
                <w:b/>
                <w:bCs/>
                <w:color w:val="000000" w:themeColor="text1"/>
                <w14:textFill>
                  <w14:solidFill>
                    <w14:schemeClr w14:val="tx1"/>
                  </w14:solidFill>
                </w14:textFill>
              </w:rPr>
              <w:t>声环境</w:t>
            </w:r>
          </w:p>
          <w:p w14:paraId="321C8CF2">
            <w:pPr>
              <w:pStyle w:val="36"/>
              <w:ind w:firstLine="480"/>
              <w:rPr>
                <w:rFonts w:hint="default"/>
                <w:color w:val="000000" w:themeColor="text1"/>
                <w14:textFill>
                  <w14:solidFill>
                    <w14:schemeClr w14:val="tx1"/>
                  </w14:solidFill>
                </w14:textFill>
              </w:rPr>
            </w:pPr>
            <w:r>
              <w:rPr>
                <w:color w:val="000000" w:themeColor="text1"/>
                <w14:textFill>
                  <w14:solidFill>
                    <w14:schemeClr w14:val="tx1"/>
                  </w14:solidFill>
                </w14:textFill>
              </w:rPr>
              <w:t>根据现场踏勘，本项目周边50m范围内无声环境保护目标，根据《建设项目环境影响报告表编制技术指南（污染影响类）（试行）》，无需进行声环境现状调查</w:t>
            </w:r>
            <w:r>
              <w:rPr>
                <w:rFonts w:hint="default"/>
                <w:color w:val="000000" w:themeColor="text1"/>
                <w14:textFill>
                  <w14:solidFill>
                    <w14:schemeClr w14:val="tx1"/>
                  </w14:solidFill>
                </w14:textFill>
              </w:rPr>
              <w:t>。</w:t>
            </w:r>
          </w:p>
          <w:p w14:paraId="77D3BF0A">
            <w:pPr>
              <w:pStyle w:val="42"/>
              <w:widowControl/>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（四）</w:t>
            </w:r>
            <w:r>
              <w:rPr>
                <w:b/>
                <w:bCs/>
                <w:color w:val="000000" w:themeColor="text1"/>
                <w14:textFill>
                  <w14:solidFill>
                    <w14:schemeClr w14:val="tx1"/>
                  </w14:solidFill>
                </w14:textFill>
              </w:rPr>
              <w:t>生态环境</w:t>
            </w:r>
          </w:p>
          <w:p w14:paraId="6494F800">
            <w:pPr>
              <w:pStyle w:val="36"/>
              <w:ind w:firstLine="480"/>
              <w:rPr>
                <w:rFonts w:hint="default"/>
              </w:rPr>
            </w:pPr>
            <w:r>
              <w:t>本项目厂址周边无敏感生态环境保护目标，生态系统敏感度低，所以无需进行生态调查。</w:t>
            </w:r>
          </w:p>
          <w:p w14:paraId="33E79DB2">
            <w:pPr>
              <w:pStyle w:val="42"/>
              <w:widowControl/>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（五）</w:t>
            </w:r>
            <w:r>
              <w:rPr>
                <w:b/>
                <w:bCs/>
                <w:color w:val="000000" w:themeColor="text1"/>
                <w14:textFill>
                  <w14:solidFill>
                    <w14:schemeClr w14:val="tx1"/>
                  </w14:solidFill>
                </w14:textFill>
              </w:rPr>
              <w:t>地下水</w:t>
            </w:r>
            <w:r>
              <w:rPr>
                <w:rFonts w:hint="eastAsia"/>
                <w:b/>
                <w:bCs/>
                <w:color w:val="000000" w:themeColor="text1"/>
                <w14:textFill>
                  <w14:solidFill>
                    <w14:schemeClr w14:val="tx1"/>
                  </w14:solidFill>
                </w14:textFill>
              </w:rPr>
              <w:t>、土壤环境</w:t>
            </w:r>
          </w:p>
          <w:p w14:paraId="0647B76E">
            <w:pPr>
              <w:pStyle w:val="36"/>
              <w:ind w:firstLine="480"/>
              <w:rPr>
                <w:rFonts w:hint="default"/>
                <w:color w:val="000000" w:themeColor="text1"/>
                <w14:textFill>
                  <w14:solidFill>
                    <w14:schemeClr w14:val="tx1"/>
                  </w14:solidFill>
                </w14:textFill>
              </w:rPr>
            </w:pPr>
            <w:r>
              <w:rPr>
                <w:color w:val="000000" w:themeColor="text1"/>
                <w14:textFill>
                  <w14:solidFill>
                    <w14:schemeClr w14:val="tx1"/>
                  </w14:solidFill>
                </w14:textFill>
              </w:rPr>
              <w:t>根据《建设项目环境影响报告表编制技术指南（污染影响类）》，报告表项目原则上可不开展地下水土壤现状调查；本项目生产区全部硬化，生产过程不涉及大量使用容易造成地下水及土壤环境污染的原辅料，生产过程造成地下水、土壤污染风险较小；同时要求建设单位按照评价要求做好分区防渗措施，可确保正常生产过程中无污染土壤和地下水的途径。因此，本次评价不对土壤、地下水环境质量现状开展调查。</w:t>
            </w:r>
          </w:p>
          <w:p w14:paraId="1DCAF9B0">
            <w:pPr>
              <w:pStyle w:val="36"/>
              <w:ind w:firstLine="482"/>
              <w:rPr>
                <w:rFonts w:hint="default"/>
                <w:b/>
                <w:bCs/>
              </w:rPr>
            </w:pPr>
            <w:r>
              <w:rPr>
                <w:b/>
                <w:bCs/>
              </w:rPr>
              <w:t>（六）电磁辐射</w:t>
            </w:r>
          </w:p>
          <w:p w14:paraId="203167D5">
            <w:pPr>
              <w:pStyle w:val="36"/>
              <w:ind w:firstLine="480"/>
              <w:rPr>
                <w:rFonts w:hint="default"/>
              </w:rPr>
            </w:pPr>
            <w:r>
              <w:t>本项目不涉及电磁辐射，因此不开展电磁辐射现状监测与评价。</w:t>
            </w:r>
          </w:p>
          <w:p w14:paraId="220BE09E">
            <w:pPr>
              <w:pStyle w:val="18"/>
              <w:jc w:val="both"/>
              <w:rPr>
                <w:color w:val="000000" w:themeColor="text1"/>
                <w14:textFill>
                  <w14:solidFill>
                    <w14:schemeClr w14:val="tx1"/>
                  </w14:solidFill>
                </w14:textFill>
              </w:rPr>
            </w:pPr>
          </w:p>
          <w:p w14:paraId="25F6628B">
            <w:pPr>
              <w:pStyle w:val="18"/>
              <w:jc w:val="both"/>
              <w:rPr>
                <w:color w:val="000000" w:themeColor="text1"/>
                <w14:textFill>
                  <w14:solidFill>
                    <w14:schemeClr w14:val="tx1"/>
                  </w14:solidFill>
                </w14:textFill>
              </w:rPr>
            </w:pPr>
            <w:bookmarkStart w:id="82" w:name="_GoBack"/>
            <w:bookmarkEnd w:id="82"/>
          </w:p>
          <w:p w14:paraId="44996B3D">
            <w:pPr>
              <w:pStyle w:val="18"/>
              <w:jc w:val="both"/>
              <w:rPr>
                <w:color w:val="000000" w:themeColor="text1"/>
                <w14:textFill>
                  <w14:solidFill>
                    <w14:schemeClr w14:val="tx1"/>
                  </w14:solidFill>
                </w14:textFill>
              </w:rPr>
            </w:pPr>
          </w:p>
          <w:p w14:paraId="29553D5A">
            <w:pPr>
              <w:pStyle w:val="18"/>
              <w:jc w:val="both"/>
              <w:rPr>
                <w:color w:val="000000" w:themeColor="text1"/>
                <w14:textFill>
                  <w14:solidFill>
                    <w14:schemeClr w14:val="tx1"/>
                  </w14:solidFill>
                </w14:textFill>
              </w:rPr>
            </w:pPr>
          </w:p>
          <w:p w14:paraId="471A4252">
            <w:pPr>
              <w:pStyle w:val="18"/>
              <w:jc w:val="both"/>
              <w:rPr>
                <w:color w:val="000000" w:themeColor="text1"/>
                <w14:textFill>
                  <w14:solidFill>
                    <w14:schemeClr w14:val="tx1"/>
                  </w14:solidFill>
                </w14:textFill>
              </w:rPr>
            </w:pPr>
          </w:p>
          <w:p w14:paraId="687DF3C4">
            <w:pPr>
              <w:pStyle w:val="18"/>
              <w:jc w:val="both"/>
              <w:rPr>
                <w:color w:val="000000" w:themeColor="text1"/>
                <w14:textFill>
                  <w14:solidFill>
                    <w14:schemeClr w14:val="tx1"/>
                  </w14:solidFill>
                </w14:textFill>
              </w:rPr>
            </w:pPr>
          </w:p>
          <w:p w14:paraId="043E23DA">
            <w:pPr>
              <w:pStyle w:val="18"/>
              <w:jc w:val="both"/>
              <w:rPr>
                <w:color w:val="000000" w:themeColor="text1"/>
                <w14:textFill>
                  <w14:solidFill>
                    <w14:schemeClr w14:val="tx1"/>
                  </w14:solidFill>
                </w14:textFill>
              </w:rPr>
            </w:pPr>
          </w:p>
          <w:p w14:paraId="5EAE6E97">
            <w:pPr>
              <w:pStyle w:val="18"/>
              <w:jc w:val="both"/>
              <w:rPr>
                <w:color w:val="000000" w:themeColor="text1"/>
                <w14:textFill>
                  <w14:solidFill>
                    <w14:schemeClr w14:val="tx1"/>
                  </w14:solidFill>
                </w14:textFill>
              </w:rPr>
            </w:pPr>
          </w:p>
          <w:p w14:paraId="6580411D">
            <w:pPr>
              <w:pStyle w:val="18"/>
              <w:jc w:val="both"/>
              <w:rPr>
                <w:color w:val="000000" w:themeColor="text1"/>
                <w14:textFill>
                  <w14:solidFill>
                    <w14:schemeClr w14:val="tx1"/>
                  </w14:solidFill>
                </w14:textFill>
              </w:rPr>
            </w:pPr>
          </w:p>
          <w:p w14:paraId="41B5924B">
            <w:pPr>
              <w:pStyle w:val="18"/>
              <w:jc w:val="both"/>
              <w:rPr>
                <w:color w:val="000000" w:themeColor="text1"/>
                <w14:textFill>
                  <w14:solidFill>
                    <w14:schemeClr w14:val="tx1"/>
                  </w14:solidFill>
                </w14:textFill>
              </w:rPr>
            </w:pPr>
          </w:p>
          <w:p w14:paraId="308F544B">
            <w:pPr>
              <w:pStyle w:val="18"/>
              <w:jc w:val="both"/>
              <w:rPr>
                <w:color w:val="000000" w:themeColor="text1"/>
                <w14:textFill>
                  <w14:solidFill>
                    <w14:schemeClr w14:val="tx1"/>
                  </w14:solidFill>
                </w14:textFill>
              </w:rPr>
            </w:pPr>
          </w:p>
          <w:p w14:paraId="242829D5">
            <w:pPr>
              <w:pStyle w:val="18"/>
              <w:jc w:val="both"/>
              <w:rPr>
                <w:color w:val="000000" w:themeColor="text1"/>
                <w14:textFill>
                  <w14:solidFill>
                    <w14:schemeClr w14:val="tx1"/>
                  </w14:solidFill>
                </w14:textFill>
              </w:rPr>
            </w:pPr>
          </w:p>
          <w:p w14:paraId="0F2065DE">
            <w:pPr>
              <w:pStyle w:val="18"/>
              <w:jc w:val="both"/>
              <w:rPr>
                <w:color w:val="000000" w:themeColor="text1"/>
                <w14:textFill>
                  <w14:solidFill>
                    <w14:schemeClr w14:val="tx1"/>
                  </w14:solidFill>
                </w14:textFill>
              </w:rPr>
            </w:pPr>
          </w:p>
          <w:p w14:paraId="11ECDBE4">
            <w:pPr>
              <w:pStyle w:val="18"/>
              <w:jc w:val="both"/>
              <w:rPr>
                <w:color w:val="000000" w:themeColor="text1"/>
                <w14:textFill>
                  <w14:solidFill>
                    <w14:schemeClr w14:val="tx1"/>
                  </w14:solidFill>
                </w14:textFill>
              </w:rPr>
            </w:pPr>
          </w:p>
          <w:p w14:paraId="3101F34C">
            <w:pPr>
              <w:pStyle w:val="18"/>
              <w:jc w:val="both"/>
              <w:rPr>
                <w:color w:val="000000" w:themeColor="text1"/>
                <w14:textFill>
                  <w14:solidFill>
                    <w14:schemeClr w14:val="tx1"/>
                  </w14:solidFill>
                </w14:textFill>
              </w:rPr>
            </w:pPr>
          </w:p>
          <w:p w14:paraId="76C8A4E6">
            <w:pPr>
              <w:pStyle w:val="18"/>
              <w:jc w:val="both"/>
              <w:rPr>
                <w:color w:val="000000" w:themeColor="text1"/>
                <w14:textFill>
                  <w14:solidFill>
                    <w14:schemeClr w14:val="tx1"/>
                  </w14:solidFill>
                </w14:textFill>
              </w:rPr>
            </w:pPr>
          </w:p>
          <w:p w14:paraId="57EE4652">
            <w:pPr>
              <w:pStyle w:val="18"/>
              <w:jc w:val="both"/>
              <w:rPr>
                <w:color w:val="000000" w:themeColor="text1"/>
                <w14:textFill>
                  <w14:solidFill>
                    <w14:schemeClr w14:val="tx1"/>
                  </w14:solidFill>
                </w14:textFill>
              </w:rPr>
            </w:pPr>
          </w:p>
          <w:p w14:paraId="5975BDD5">
            <w:pPr>
              <w:pStyle w:val="18"/>
              <w:jc w:val="both"/>
              <w:rPr>
                <w:color w:val="000000" w:themeColor="text1"/>
                <w14:textFill>
                  <w14:solidFill>
                    <w14:schemeClr w14:val="tx1"/>
                  </w14:solidFill>
                </w14:textFill>
              </w:rPr>
            </w:pPr>
          </w:p>
          <w:p w14:paraId="43315E30">
            <w:pPr>
              <w:pStyle w:val="18"/>
              <w:jc w:val="both"/>
              <w:rPr>
                <w:color w:val="000000" w:themeColor="text1"/>
                <w14:textFill>
                  <w14:solidFill>
                    <w14:schemeClr w14:val="tx1"/>
                  </w14:solidFill>
                </w14:textFill>
              </w:rPr>
            </w:pPr>
          </w:p>
          <w:p w14:paraId="6F655B4A">
            <w:pPr>
              <w:pStyle w:val="18"/>
              <w:jc w:val="both"/>
              <w:rPr>
                <w:color w:val="000000" w:themeColor="text1"/>
                <w14:textFill>
                  <w14:solidFill>
                    <w14:schemeClr w14:val="tx1"/>
                  </w14:solidFill>
                </w14:textFill>
              </w:rPr>
            </w:pPr>
          </w:p>
          <w:p w14:paraId="35874EBC">
            <w:pPr>
              <w:pStyle w:val="18"/>
              <w:jc w:val="both"/>
              <w:rPr>
                <w:color w:val="000000" w:themeColor="text1"/>
                <w14:textFill>
                  <w14:solidFill>
                    <w14:schemeClr w14:val="tx1"/>
                  </w14:solidFill>
                </w14:textFill>
              </w:rPr>
            </w:pPr>
          </w:p>
          <w:p w14:paraId="0E6D60BF">
            <w:pPr>
              <w:pStyle w:val="18"/>
              <w:jc w:val="both"/>
              <w:rPr>
                <w:color w:val="000000" w:themeColor="text1"/>
                <w14:textFill>
                  <w14:solidFill>
                    <w14:schemeClr w14:val="tx1"/>
                  </w14:solidFill>
                </w14:textFill>
              </w:rPr>
            </w:pPr>
          </w:p>
          <w:p w14:paraId="7BFFA833">
            <w:pPr>
              <w:pStyle w:val="18"/>
              <w:jc w:val="both"/>
              <w:rPr>
                <w:color w:val="000000" w:themeColor="text1"/>
                <w14:textFill>
                  <w14:solidFill>
                    <w14:schemeClr w14:val="tx1"/>
                  </w14:solidFill>
                </w14:textFill>
              </w:rPr>
            </w:pPr>
          </w:p>
          <w:p w14:paraId="58037CDF">
            <w:pPr>
              <w:pStyle w:val="18"/>
              <w:jc w:val="both"/>
              <w:rPr>
                <w:color w:val="000000" w:themeColor="text1"/>
                <w14:textFill>
                  <w14:solidFill>
                    <w14:schemeClr w14:val="tx1"/>
                  </w14:solidFill>
                </w14:textFill>
              </w:rPr>
            </w:pPr>
          </w:p>
          <w:p w14:paraId="05D0E731">
            <w:pPr>
              <w:pStyle w:val="18"/>
              <w:jc w:val="both"/>
              <w:rPr>
                <w:color w:val="000000" w:themeColor="text1"/>
                <w14:textFill>
                  <w14:solidFill>
                    <w14:schemeClr w14:val="tx1"/>
                  </w14:solidFill>
                </w14:textFill>
              </w:rPr>
            </w:pPr>
          </w:p>
          <w:p w14:paraId="79174E57">
            <w:pPr>
              <w:pStyle w:val="18"/>
              <w:jc w:val="both"/>
              <w:rPr>
                <w:color w:val="000000" w:themeColor="text1"/>
                <w14:textFill>
                  <w14:solidFill>
                    <w14:schemeClr w14:val="tx1"/>
                  </w14:solidFill>
                </w14:textFill>
              </w:rPr>
            </w:pPr>
          </w:p>
          <w:p w14:paraId="6E2BF882">
            <w:pPr>
              <w:pStyle w:val="18"/>
              <w:jc w:val="both"/>
              <w:rPr>
                <w:color w:val="000000" w:themeColor="text1"/>
                <w14:textFill>
                  <w14:solidFill>
                    <w14:schemeClr w14:val="tx1"/>
                  </w14:solidFill>
                </w14:textFill>
              </w:rPr>
            </w:pPr>
          </w:p>
          <w:p w14:paraId="1B2D1C6D">
            <w:pPr>
              <w:pStyle w:val="18"/>
              <w:jc w:val="both"/>
              <w:rPr>
                <w:color w:val="000000" w:themeColor="text1"/>
                <w14:textFill>
                  <w14:solidFill>
                    <w14:schemeClr w14:val="tx1"/>
                  </w14:solidFill>
                </w14:textFill>
              </w:rPr>
            </w:pPr>
          </w:p>
          <w:p w14:paraId="168DEEF3">
            <w:pPr>
              <w:pStyle w:val="18"/>
              <w:jc w:val="both"/>
              <w:rPr>
                <w:color w:val="000000" w:themeColor="text1"/>
                <w14:textFill>
                  <w14:solidFill>
                    <w14:schemeClr w14:val="tx1"/>
                  </w14:solidFill>
                </w14:textFill>
              </w:rPr>
            </w:pPr>
          </w:p>
          <w:p w14:paraId="19293BC9">
            <w:pPr>
              <w:pStyle w:val="18"/>
              <w:jc w:val="both"/>
              <w:rPr>
                <w:color w:val="000000" w:themeColor="text1"/>
                <w14:textFill>
                  <w14:solidFill>
                    <w14:schemeClr w14:val="tx1"/>
                  </w14:solidFill>
                </w14:textFill>
              </w:rPr>
            </w:pPr>
          </w:p>
          <w:p w14:paraId="0189959A">
            <w:pPr>
              <w:pStyle w:val="18"/>
              <w:jc w:val="both"/>
              <w:rPr>
                <w:color w:val="000000" w:themeColor="text1"/>
                <w14:textFill>
                  <w14:solidFill>
                    <w14:schemeClr w14:val="tx1"/>
                  </w14:solidFill>
                </w14:textFill>
              </w:rPr>
            </w:pPr>
          </w:p>
          <w:p w14:paraId="11CC05ED">
            <w:pPr>
              <w:pStyle w:val="18"/>
              <w:jc w:val="both"/>
              <w:rPr>
                <w:color w:val="000000" w:themeColor="text1"/>
                <w14:textFill>
                  <w14:solidFill>
                    <w14:schemeClr w14:val="tx1"/>
                  </w14:solidFill>
                </w14:textFill>
              </w:rPr>
            </w:pPr>
          </w:p>
        </w:tc>
      </w:tr>
      <w:tr w14:paraId="5A454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93" w:hRule="atLeast"/>
          <w:jc w:val="center"/>
        </w:trPr>
        <w:tc>
          <w:tcPr>
            <w:tcW w:w="707" w:type="dxa"/>
            <w:vAlign w:val="center"/>
          </w:tcPr>
          <w:p w14:paraId="6AA0DB2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环境保护目标</w:t>
            </w:r>
          </w:p>
        </w:tc>
        <w:tc>
          <w:tcPr>
            <w:tcW w:w="8864" w:type="dxa"/>
            <w:vAlign w:val="center"/>
          </w:tcPr>
          <w:p w14:paraId="5E0F2912">
            <w:pPr>
              <w:pStyle w:val="42"/>
              <w:spacing w:before="120"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项目所在地环境功能区划及现场踏勘，</w:t>
            </w:r>
            <w:r>
              <w:rPr>
                <w:color w:val="000000" w:themeColor="text1"/>
                <w14:textFill>
                  <w14:solidFill>
                    <w14:schemeClr w14:val="tx1"/>
                  </w14:solidFill>
                </w14:textFill>
              </w:rPr>
              <w:t>确定</w:t>
            </w:r>
            <w:r>
              <w:rPr>
                <w:rFonts w:hint="eastAsia"/>
                <w:color w:val="000000" w:themeColor="text1"/>
                <w14:textFill>
                  <w14:solidFill>
                    <w14:schemeClr w14:val="tx1"/>
                  </w14:solidFill>
                </w14:textFill>
              </w:rPr>
              <w:t>周边</w:t>
            </w:r>
            <w:r>
              <w:rPr>
                <w:color w:val="000000" w:themeColor="text1"/>
                <w14:textFill>
                  <w14:solidFill>
                    <w14:schemeClr w14:val="tx1"/>
                  </w14:solidFill>
                </w14:textFill>
              </w:rPr>
              <w:t>环境保护目标如下：</w:t>
            </w:r>
          </w:p>
          <w:p w14:paraId="3291E505">
            <w:pPr>
              <w:pStyle w:val="42"/>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1、大气环境</w:t>
            </w:r>
          </w:p>
          <w:p w14:paraId="17AA1756">
            <w:pPr>
              <w:pStyle w:val="36"/>
              <w:ind w:firstLine="480"/>
              <w:rPr>
                <w:rFonts w:hint="default"/>
              </w:rPr>
            </w:pPr>
            <w:r>
              <w:t>根据现场踏勘及卫星遥感图，本项目周围500米内大气环境保护目标如下表所示：</w:t>
            </w:r>
          </w:p>
          <w:p w14:paraId="05302F30">
            <w:pPr>
              <w:pStyle w:val="52"/>
            </w:pPr>
            <w:r>
              <w:rPr>
                <w:rFonts w:hint="eastAsia"/>
              </w:rPr>
              <w:t>项目大气</w:t>
            </w:r>
            <w:r>
              <w:t>环境保护目标一览表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128"/>
              <w:gridCol w:w="1048"/>
              <w:gridCol w:w="1390"/>
              <w:gridCol w:w="1006"/>
              <w:gridCol w:w="1296"/>
              <w:gridCol w:w="833"/>
            </w:tblGrid>
            <w:tr w14:paraId="24021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Align w:val="center"/>
                </w:tcPr>
                <w:p w14:paraId="540AD2E6">
                  <w:pPr>
                    <w:autoSpaceDE w:val="0"/>
                    <w:autoSpaceDN w:val="0"/>
                    <w:adjustRightInd w:val="0"/>
                    <w:jc w:val="center"/>
                    <w:rPr>
                      <w:b/>
                      <w:bCs/>
                      <w:szCs w:val="21"/>
                    </w:rPr>
                  </w:pPr>
                  <w:r>
                    <w:rPr>
                      <w:b/>
                      <w:bCs/>
                      <w:szCs w:val="21"/>
                    </w:rPr>
                    <w:t>环境</w:t>
                  </w:r>
                </w:p>
                <w:p w14:paraId="57A3C387">
                  <w:pPr>
                    <w:autoSpaceDE w:val="0"/>
                    <w:autoSpaceDN w:val="0"/>
                    <w:adjustRightInd w:val="0"/>
                    <w:jc w:val="center"/>
                    <w:rPr>
                      <w:b/>
                      <w:bCs/>
                      <w:szCs w:val="21"/>
                    </w:rPr>
                  </w:pPr>
                  <w:r>
                    <w:rPr>
                      <w:b/>
                      <w:bCs/>
                      <w:szCs w:val="21"/>
                    </w:rPr>
                    <w:t>要素</w:t>
                  </w:r>
                </w:p>
              </w:tc>
              <w:tc>
                <w:tcPr>
                  <w:tcW w:w="1231" w:type="pct"/>
                  <w:vAlign w:val="center"/>
                </w:tcPr>
                <w:p w14:paraId="78BD310A">
                  <w:pPr>
                    <w:autoSpaceDE w:val="0"/>
                    <w:autoSpaceDN w:val="0"/>
                    <w:adjustRightInd w:val="0"/>
                    <w:jc w:val="center"/>
                    <w:rPr>
                      <w:b/>
                      <w:bCs/>
                      <w:szCs w:val="21"/>
                    </w:rPr>
                  </w:pPr>
                  <w:r>
                    <w:rPr>
                      <w:b/>
                      <w:bCs/>
                      <w:szCs w:val="21"/>
                    </w:rPr>
                    <w:t>环境保护对象名称</w:t>
                  </w:r>
                </w:p>
              </w:tc>
              <w:tc>
                <w:tcPr>
                  <w:tcW w:w="606" w:type="pct"/>
                  <w:vAlign w:val="center"/>
                </w:tcPr>
                <w:p w14:paraId="21EF2D35">
                  <w:pPr>
                    <w:autoSpaceDE w:val="0"/>
                    <w:autoSpaceDN w:val="0"/>
                    <w:adjustRightInd w:val="0"/>
                    <w:jc w:val="center"/>
                    <w:rPr>
                      <w:b/>
                      <w:bCs/>
                      <w:szCs w:val="21"/>
                    </w:rPr>
                  </w:pPr>
                  <w:r>
                    <w:rPr>
                      <w:b/>
                      <w:bCs/>
                      <w:szCs w:val="21"/>
                    </w:rPr>
                    <w:t>方位</w:t>
                  </w:r>
                </w:p>
              </w:tc>
              <w:tc>
                <w:tcPr>
                  <w:tcW w:w="804" w:type="pct"/>
                  <w:vAlign w:val="center"/>
                </w:tcPr>
                <w:p w14:paraId="2BD81C0D">
                  <w:pPr>
                    <w:autoSpaceDE w:val="0"/>
                    <w:autoSpaceDN w:val="0"/>
                    <w:adjustRightInd w:val="0"/>
                    <w:jc w:val="center"/>
                    <w:rPr>
                      <w:b/>
                      <w:bCs/>
                      <w:szCs w:val="21"/>
                    </w:rPr>
                  </w:pPr>
                  <w:r>
                    <w:rPr>
                      <w:rFonts w:hint="eastAsia"/>
                      <w:b/>
                      <w:bCs/>
                      <w:szCs w:val="21"/>
                    </w:rPr>
                    <w:t>厂界最近直线</w:t>
                  </w:r>
                  <w:r>
                    <w:rPr>
                      <w:b/>
                      <w:bCs/>
                      <w:szCs w:val="21"/>
                    </w:rPr>
                    <w:t>距离（m）</w:t>
                  </w:r>
                </w:p>
              </w:tc>
              <w:tc>
                <w:tcPr>
                  <w:tcW w:w="581" w:type="pct"/>
                  <w:vAlign w:val="center"/>
                </w:tcPr>
                <w:p w14:paraId="294DBCF0">
                  <w:pPr>
                    <w:autoSpaceDE w:val="0"/>
                    <w:autoSpaceDN w:val="0"/>
                    <w:adjustRightInd w:val="0"/>
                    <w:jc w:val="center"/>
                    <w:rPr>
                      <w:b/>
                      <w:bCs/>
                      <w:szCs w:val="21"/>
                    </w:rPr>
                  </w:pPr>
                  <w:r>
                    <w:rPr>
                      <w:rFonts w:hint="eastAsia"/>
                      <w:b/>
                      <w:bCs/>
                      <w:szCs w:val="21"/>
                    </w:rPr>
                    <w:t>保护对象</w:t>
                  </w:r>
                </w:p>
              </w:tc>
              <w:tc>
                <w:tcPr>
                  <w:tcW w:w="749" w:type="pct"/>
                  <w:vAlign w:val="center"/>
                </w:tcPr>
                <w:p w14:paraId="2FFC4DF5">
                  <w:pPr>
                    <w:autoSpaceDE w:val="0"/>
                    <w:autoSpaceDN w:val="0"/>
                    <w:adjustRightInd w:val="0"/>
                    <w:jc w:val="center"/>
                    <w:rPr>
                      <w:b/>
                      <w:bCs/>
                      <w:szCs w:val="21"/>
                    </w:rPr>
                  </w:pPr>
                  <w:r>
                    <w:rPr>
                      <w:rFonts w:hint="eastAsia"/>
                      <w:b/>
                      <w:bCs/>
                      <w:szCs w:val="21"/>
                    </w:rPr>
                    <w:t>保护</w:t>
                  </w:r>
                  <w:r>
                    <w:rPr>
                      <w:b/>
                      <w:bCs/>
                      <w:szCs w:val="21"/>
                    </w:rPr>
                    <w:t>内容</w:t>
                  </w:r>
                </w:p>
              </w:tc>
              <w:tc>
                <w:tcPr>
                  <w:tcW w:w="481" w:type="pct"/>
                  <w:vAlign w:val="center"/>
                </w:tcPr>
                <w:p w14:paraId="0F20CB33">
                  <w:pPr>
                    <w:autoSpaceDE w:val="0"/>
                    <w:autoSpaceDN w:val="0"/>
                    <w:adjustRightInd w:val="0"/>
                    <w:jc w:val="center"/>
                    <w:rPr>
                      <w:b/>
                      <w:bCs/>
                      <w:szCs w:val="21"/>
                    </w:rPr>
                  </w:pPr>
                  <w:r>
                    <w:rPr>
                      <w:b/>
                      <w:bCs/>
                      <w:szCs w:val="21"/>
                    </w:rPr>
                    <w:t>环境功能</w:t>
                  </w:r>
                </w:p>
              </w:tc>
            </w:tr>
            <w:tr w14:paraId="3A252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544" w:type="pct"/>
                  <w:vMerge w:val="restart"/>
                  <w:vAlign w:val="center"/>
                </w:tcPr>
                <w:p w14:paraId="454EAC5E">
                  <w:pPr>
                    <w:jc w:val="center"/>
                    <w:rPr>
                      <w:szCs w:val="21"/>
                    </w:rPr>
                  </w:pPr>
                  <w:r>
                    <w:rPr>
                      <w:rFonts w:hint="eastAsia"/>
                      <w:szCs w:val="21"/>
                    </w:rPr>
                    <w:t>大气</w:t>
                  </w:r>
                </w:p>
                <w:p w14:paraId="108067AE">
                  <w:pPr>
                    <w:jc w:val="center"/>
                    <w:rPr>
                      <w:szCs w:val="21"/>
                    </w:rPr>
                  </w:pPr>
                  <w:r>
                    <w:rPr>
                      <w:rFonts w:hint="eastAsia"/>
                      <w:szCs w:val="21"/>
                    </w:rPr>
                    <w:t>环境</w:t>
                  </w:r>
                </w:p>
              </w:tc>
              <w:tc>
                <w:tcPr>
                  <w:tcW w:w="1231" w:type="pct"/>
                  <w:vAlign w:val="center"/>
                </w:tcPr>
                <w:p w14:paraId="2FF734E8">
                  <w:pPr>
                    <w:adjustRightInd w:val="0"/>
                    <w:contextualSpacing/>
                    <w:jc w:val="center"/>
                    <w:rPr>
                      <w:rFonts w:hint="default" w:eastAsia="宋体"/>
                      <w:szCs w:val="21"/>
                      <w:lang w:val="en-US" w:eastAsia="zh-CN"/>
                    </w:rPr>
                  </w:pPr>
                  <w:r>
                    <w:rPr>
                      <w:rFonts w:hint="eastAsia"/>
                      <w:szCs w:val="21"/>
                      <w:lang w:val="en-US" w:eastAsia="zh-CN"/>
                    </w:rPr>
                    <w:t>松林寺</w:t>
                  </w:r>
                </w:p>
              </w:tc>
              <w:tc>
                <w:tcPr>
                  <w:tcW w:w="606" w:type="pct"/>
                  <w:vAlign w:val="center"/>
                </w:tcPr>
                <w:p w14:paraId="266BCC04">
                  <w:pPr>
                    <w:adjustRightInd w:val="0"/>
                    <w:contextualSpacing/>
                    <w:jc w:val="center"/>
                    <w:rPr>
                      <w:rFonts w:hint="default" w:eastAsia="宋体"/>
                      <w:szCs w:val="21"/>
                      <w:lang w:val="en-US" w:eastAsia="zh-CN"/>
                    </w:rPr>
                  </w:pPr>
                  <w:r>
                    <w:rPr>
                      <w:rFonts w:hint="eastAsia"/>
                      <w:szCs w:val="21"/>
                      <w:lang w:val="en-US" w:eastAsia="zh-CN"/>
                    </w:rPr>
                    <w:t>南</w:t>
                  </w:r>
                </w:p>
              </w:tc>
              <w:tc>
                <w:tcPr>
                  <w:tcW w:w="804" w:type="pct"/>
                  <w:vAlign w:val="center"/>
                </w:tcPr>
                <w:p w14:paraId="0DC7A7DC">
                  <w:pPr>
                    <w:jc w:val="center"/>
                    <w:rPr>
                      <w:rFonts w:hint="default" w:eastAsia="宋体"/>
                      <w:szCs w:val="21"/>
                      <w:lang w:val="en-US" w:eastAsia="zh-CN"/>
                    </w:rPr>
                  </w:pPr>
                  <w:r>
                    <w:rPr>
                      <w:rFonts w:hint="eastAsia"/>
                      <w:szCs w:val="21"/>
                      <w:lang w:val="en-US" w:eastAsia="zh-CN"/>
                    </w:rPr>
                    <w:t>80</w:t>
                  </w:r>
                </w:p>
              </w:tc>
              <w:tc>
                <w:tcPr>
                  <w:tcW w:w="581" w:type="pct"/>
                  <w:vAlign w:val="center"/>
                </w:tcPr>
                <w:p w14:paraId="277BADD8">
                  <w:pPr>
                    <w:pStyle w:val="38"/>
                  </w:pPr>
                  <w:r>
                    <w:t>居住区</w:t>
                  </w:r>
                </w:p>
              </w:tc>
              <w:tc>
                <w:tcPr>
                  <w:tcW w:w="749" w:type="pct"/>
                  <w:vAlign w:val="center"/>
                </w:tcPr>
                <w:p w14:paraId="6D7D17B0">
                  <w:pPr>
                    <w:jc w:val="center"/>
                    <w:rPr>
                      <w:szCs w:val="21"/>
                    </w:rPr>
                  </w:pPr>
                  <w:r>
                    <w:rPr>
                      <w:rFonts w:hint="eastAsia"/>
                      <w:szCs w:val="21"/>
                    </w:rPr>
                    <w:t>环境空气</w:t>
                  </w:r>
                </w:p>
              </w:tc>
              <w:tc>
                <w:tcPr>
                  <w:tcW w:w="481" w:type="pct"/>
                  <w:vMerge w:val="restart"/>
                  <w:vAlign w:val="center"/>
                </w:tcPr>
                <w:p w14:paraId="5423C4C7">
                  <w:pPr>
                    <w:jc w:val="center"/>
                    <w:rPr>
                      <w:szCs w:val="21"/>
                    </w:rPr>
                  </w:pPr>
                  <w:r>
                    <w:rPr>
                      <w:rFonts w:hint="eastAsia"/>
                      <w:szCs w:val="21"/>
                    </w:rPr>
                    <w:t>二类功能区</w:t>
                  </w:r>
                </w:p>
              </w:tc>
            </w:tr>
            <w:tr w14:paraId="6314D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44" w:type="pct"/>
                  <w:vMerge w:val="continue"/>
                  <w:vAlign w:val="center"/>
                </w:tcPr>
                <w:p w14:paraId="3EAAEFA7">
                  <w:pPr>
                    <w:jc w:val="center"/>
                    <w:rPr>
                      <w:szCs w:val="21"/>
                    </w:rPr>
                  </w:pPr>
                </w:p>
              </w:tc>
              <w:tc>
                <w:tcPr>
                  <w:tcW w:w="1231" w:type="pct"/>
                  <w:vAlign w:val="center"/>
                </w:tcPr>
                <w:p w14:paraId="3A0AEB9E">
                  <w:pPr>
                    <w:adjustRightInd w:val="0"/>
                    <w:contextualSpacing/>
                    <w:jc w:val="center"/>
                    <w:rPr>
                      <w:rFonts w:hint="default" w:eastAsia="宋体"/>
                      <w:szCs w:val="21"/>
                      <w:lang w:val="en-US" w:eastAsia="zh-CN"/>
                    </w:rPr>
                  </w:pPr>
                  <w:r>
                    <w:rPr>
                      <w:rFonts w:hint="eastAsia"/>
                      <w:szCs w:val="21"/>
                      <w:lang w:val="en-US" w:eastAsia="zh-CN"/>
                    </w:rPr>
                    <w:t>洋江下</w:t>
                  </w:r>
                </w:p>
              </w:tc>
              <w:tc>
                <w:tcPr>
                  <w:tcW w:w="606" w:type="pct"/>
                  <w:vAlign w:val="center"/>
                </w:tcPr>
                <w:p w14:paraId="650A9AC6">
                  <w:pPr>
                    <w:adjustRightInd w:val="0"/>
                    <w:contextualSpacing/>
                    <w:jc w:val="center"/>
                    <w:rPr>
                      <w:rFonts w:hint="eastAsia" w:eastAsia="宋体"/>
                      <w:szCs w:val="21"/>
                      <w:lang w:val="en-US" w:eastAsia="zh-CN"/>
                    </w:rPr>
                  </w:pPr>
                  <w:r>
                    <w:rPr>
                      <w:rFonts w:hint="eastAsia"/>
                      <w:szCs w:val="21"/>
                      <w:lang w:val="en-US" w:eastAsia="zh-CN"/>
                    </w:rPr>
                    <w:t>西北</w:t>
                  </w:r>
                </w:p>
              </w:tc>
              <w:tc>
                <w:tcPr>
                  <w:tcW w:w="804" w:type="pct"/>
                  <w:vAlign w:val="center"/>
                </w:tcPr>
                <w:p w14:paraId="3EDE248C">
                  <w:pPr>
                    <w:jc w:val="center"/>
                    <w:rPr>
                      <w:rFonts w:hint="default" w:eastAsia="宋体"/>
                      <w:szCs w:val="21"/>
                      <w:lang w:val="en-US" w:eastAsia="zh-CN"/>
                    </w:rPr>
                  </w:pPr>
                  <w:r>
                    <w:rPr>
                      <w:rFonts w:hint="eastAsia"/>
                      <w:szCs w:val="21"/>
                      <w:lang w:val="en-US" w:eastAsia="zh-CN"/>
                    </w:rPr>
                    <w:t>365</w:t>
                  </w:r>
                </w:p>
              </w:tc>
              <w:tc>
                <w:tcPr>
                  <w:tcW w:w="581" w:type="pct"/>
                  <w:vAlign w:val="center"/>
                </w:tcPr>
                <w:p w14:paraId="03A3F67A">
                  <w:pPr>
                    <w:jc w:val="center"/>
                  </w:pPr>
                  <w:r>
                    <w:t>居住区</w:t>
                  </w:r>
                </w:p>
              </w:tc>
              <w:tc>
                <w:tcPr>
                  <w:tcW w:w="749" w:type="pct"/>
                  <w:vAlign w:val="center"/>
                </w:tcPr>
                <w:p w14:paraId="14E067FE">
                  <w:pPr>
                    <w:pStyle w:val="38"/>
                  </w:pPr>
                  <w:r>
                    <w:rPr>
                      <w:rFonts w:hint="eastAsia"/>
                    </w:rPr>
                    <w:t>环境空气</w:t>
                  </w:r>
                </w:p>
              </w:tc>
              <w:tc>
                <w:tcPr>
                  <w:tcW w:w="481" w:type="pct"/>
                  <w:vMerge w:val="continue"/>
                  <w:vAlign w:val="center"/>
                </w:tcPr>
                <w:p w14:paraId="7066FA73">
                  <w:pPr>
                    <w:jc w:val="center"/>
                    <w:rPr>
                      <w:szCs w:val="21"/>
                    </w:rPr>
                  </w:pPr>
                </w:p>
              </w:tc>
            </w:tr>
            <w:tr w14:paraId="4210D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Merge w:val="continue"/>
                  <w:vAlign w:val="center"/>
                </w:tcPr>
                <w:p w14:paraId="3294EEF4">
                  <w:pPr>
                    <w:jc w:val="center"/>
                    <w:rPr>
                      <w:szCs w:val="21"/>
                    </w:rPr>
                  </w:pPr>
                </w:p>
              </w:tc>
              <w:tc>
                <w:tcPr>
                  <w:tcW w:w="1231" w:type="pct"/>
                  <w:vAlign w:val="center"/>
                </w:tcPr>
                <w:p w14:paraId="6FD14671">
                  <w:pPr>
                    <w:jc w:val="center"/>
                    <w:rPr>
                      <w:rFonts w:hint="eastAsia" w:eastAsia="宋体"/>
                      <w:lang w:val="en-US" w:eastAsia="zh-CN"/>
                    </w:rPr>
                  </w:pPr>
                  <w:r>
                    <w:rPr>
                      <w:rFonts w:hint="eastAsia"/>
                      <w:lang w:val="en-US" w:eastAsia="zh-CN"/>
                    </w:rPr>
                    <w:t>下水</w:t>
                  </w:r>
                </w:p>
              </w:tc>
              <w:tc>
                <w:tcPr>
                  <w:tcW w:w="606" w:type="pct"/>
                  <w:vAlign w:val="center"/>
                </w:tcPr>
                <w:p w14:paraId="2EC0A1CD">
                  <w:pPr>
                    <w:adjustRightInd w:val="0"/>
                    <w:contextualSpacing/>
                    <w:jc w:val="center"/>
                    <w:rPr>
                      <w:rFonts w:hint="eastAsia" w:eastAsia="宋体"/>
                      <w:szCs w:val="21"/>
                      <w:lang w:val="en-US" w:eastAsia="zh-CN"/>
                    </w:rPr>
                  </w:pPr>
                  <w:r>
                    <w:rPr>
                      <w:rFonts w:hint="eastAsia"/>
                      <w:szCs w:val="21"/>
                      <w:lang w:val="en-US" w:eastAsia="zh-CN"/>
                    </w:rPr>
                    <w:t>西</w:t>
                  </w:r>
                </w:p>
              </w:tc>
              <w:tc>
                <w:tcPr>
                  <w:tcW w:w="804" w:type="pct"/>
                  <w:vAlign w:val="center"/>
                </w:tcPr>
                <w:p w14:paraId="426FEAA3">
                  <w:pPr>
                    <w:jc w:val="center"/>
                    <w:rPr>
                      <w:rFonts w:hint="default"/>
                      <w:szCs w:val="21"/>
                      <w:lang w:val="en-US"/>
                    </w:rPr>
                  </w:pPr>
                  <w:r>
                    <w:rPr>
                      <w:rFonts w:hint="eastAsia"/>
                      <w:szCs w:val="21"/>
                      <w:lang w:val="en-US" w:eastAsia="zh-CN"/>
                    </w:rPr>
                    <w:t>200</w:t>
                  </w:r>
                </w:p>
              </w:tc>
              <w:tc>
                <w:tcPr>
                  <w:tcW w:w="581" w:type="pct"/>
                  <w:vAlign w:val="center"/>
                </w:tcPr>
                <w:p w14:paraId="144F1D9B">
                  <w:pPr>
                    <w:jc w:val="center"/>
                  </w:pPr>
                  <w:r>
                    <w:t>居住区</w:t>
                  </w:r>
                </w:p>
              </w:tc>
              <w:tc>
                <w:tcPr>
                  <w:tcW w:w="749" w:type="pct"/>
                  <w:vAlign w:val="center"/>
                </w:tcPr>
                <w:p w14:paraId="7550F533">
                  <w:pPr>
                    <w:pStyle w:val="38"/>
                  </w:pPr>
                  <w:r>
                    <w:rPr>
                      <w:rFonts w:hint="eastAsia"/>
                    </w:rPr>
                    <w:t>环境空气</w:t>
                  </w:r>
                </w:p>
              </w:tc>
              <w:tc>
                <w:tcPr>
                  <w:tcW w:w="481" w:type="pct"/>
                  <w:vMerge w:val="continue"/>
                  <w:vAlign w:val="center"/>
                </w:tcPr>
                <w:p w14:paraId="2E14DA38">
                  <w:pPr>
                    <w:jc w:val="center"/>
                    <w:rPr>
                      <w:szCs w:val="21"/>
                    </w:rPr>
                  </w:pPr>
                </w:p>
              </w:tc>
            </w:tr>
          </w:tbl>
          <w:p w14:paraId="003B5CA1">
            <w:pPr>
              <w:pStyle w:val="42"/>
              <w:spacing w:before="120" w:beforeLines="50"/>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2、声环境</w:t>
            </w:r>
          </w:p>
          <w:p w14:paraId="68F82929">
            <w:pPr>
              <w:pStyle w:val="42"/>
              <w:ind w:firstLine="480"/>
              <w:rPr>
                <w:color w:val="000000" w:themeColor="text1"/>
                <w14:textFill>
                  <w14:solidFill>
                    <w14:schemeClr w14:val="tx1"/>
                  </w14:solidFill>
                </w14:textFill>
              </w:rPr>
            </w:pPr>
            <w:r>
              <w:rPr>
                <w:rFonts w:hint="eastAsia"/>
              </w:rPr>
              <w:t>本项目</w:t>
            </w:r>
            <w:r>
              <w:rPr>
                <w:rFonts w:hint="eastAsia"/>
                <w:color w:val="000000" w:themeColor="text1"/>
                <w14:textFill>
                  <w14:solidFill>
                    <w14:schemeClr w14:val="tx1"/>
                  </w14:solidFill>
                </w14:textFill>
              </w:rPr>
              <w:t>厂界外50米范围内为道路、</w:t>
            </w:r>
            <w:r>
              <w:rPr>
                <w:rFonts w:hint="eastAsia"/>
                <w:color w:val="000000" w:themeColor="text1"/>
                <w:lang w:val="en-US" w:eastAsia="zh-CN"/>
                <w14:textFill>
                  <w14:solidFill>
                    <w14:schemeClr w14:val="tx1"/>
                  </w14:solidFill>
                </w14:textFill>
              </w:rPr>
              <w:t>农田等</w:t>
            </w:r>
            <w:r>
              <w:rPr>
                <w:rFonts w:hint="eastAsia"/>
                <w:color w:val="000000" w:themeColor="text1"/>
                <w14:textFill>
                  <w14:solidFill>
                    <w14:schemeClr w14:val="tx1"/>
                  </w14:solidFill>
                </w14:textFill>
              </w:rPr>
              <w:t>，不存在声环境保护目标。</w:t>
            </w:r>
          </w:p>
          <w:p w14:paraId="25D38ACE">
            <w:pPr>
              <w:pStyle w:val="42"/>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地表水环境</w:t>
            </w:r>
          </w:p>
          <w:p w14:paraId="7A24FDC1">
            <w:pPr>
              <w:pStyle w:val="4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本项目周边有</w:t>
            </w:r>
            <w:r>
              <w:rPr>
                <w:rFonts w:hint="eastAsia"/>
                <w:color w:val="000000" w:themeColor="text1"/>
                <w:lang w:eastAsia="zh-CN"/>
                <w14:textFill>
                  <w14:solidFill>
                    <w14:schemeClr w14:val="tx1"/>
                  </w14:solidFill>
                </w14:textFill>
              </w:rPr>
              <w:t>青塘河</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九龙河</w:t>
            </w:r>
            <w:r>
              <w:rPr>
                <w:rFonts w:hint="eastAsia"/>
                <w:color w:val="000000" w:themeColor="text1"/>
                <w14:textFill>
                  <w14:solidFill>
                    <w14:schemeClr w14:val="tx1"/>
                  </w14:solidFill>
                </w14:textFill>
              </w:rPr>
              <w:t>，周边地表水</w:t>
            </w:r>
            <w:r>
              <w:rPr>
                <w:color w:val="000000" w:themeColor="text1"/>
                <w14:textFill>
                  <w14:solidFill>
                    <w14:schemeClr w14:val="tx1"/>
                  </w14:solidFill>
                </w14:textFill>
              </w:rPr>
              <w:t>水质执行《地表水环境质量标准》（GB3838-2002）中</w:t>
            </w:r>
            <w:r>
              <w:rPr>
                <w:rFonts w:hint="eastAsia"/>
                <w:color w:val="000000" w:themeColor="text1"/>
                <w14:textFill>
                  <w14:solidFill>
                    <w14:schemeClr w14:val="tx1"/>
                  </w14:solidFill>
                </w14:textFill>
              </w:rPr>
              <w:t>III</w:t>
            </w:r>
            <w:r>
              <w:rPr>
                <w:color w:val="000000" w:themeColor="text1"/>
                <w14:textFill>
                  <w14:solidFill>
                    <w14:schemeClr w14:val="tx1"/>
                  </w14:solidFill>
                </w14:textFill>
              </w:rPr>
              <w:t>类水质标准。</w:t>
            </w:r>
          </w:p>
          <w:p w14:paraId="558332DE">
            <w:pPr>
              <w:pStyle w:val="42"/>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4、地下水环境</w:t>
            </w:r>
          </w:p>
          <w:p w14:paraId="0978773D">
            <w:pPr>
              <w:pStyle w:val="4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厂界外500m范围内无地下水集中式饮用水水源和热水、矿泉水、温泉等特殊地下水资源。</w:t>
            </w:r>
          </w:p>
          <w:p w14:paraId="732354D6">
            <w:pPr>
              <w:pStyle w:val="42"/>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w:t>
            </w:r>
            <w:r>
              <w:rPr>
                <w:b/>
                <w:bCs/>
                <w:color w:val="000000" w:themeColor="text1"/>
                <w14:textFill>
                  <w14:solidFill>
                    <w14:schemeClr w14:val="tx1"/>
                  </w14:solidFill>
                </w14:textFill>
              </w:rPr>
              <w:t>生态环境</w:t>
            </w:r>
          </w:p>
          <w:p w14:paraId="1F0159B1">
            <w:pPr>
              <w:pStyle w:val="36"/>
              <w:ind w:firstLine="480"/>
              <w:rPr>
                <w:rFonts w:hint="default"/>
              </w:rPr>
            </w:pPr>
            <w:r>
              <w:t>本项目厂址周边无敏感生态环境保护目标，生态系统敏感度低，</w:t>
            </w:r>
            <w:r>
              <w:rPr>
                <w:rFonts w:hint="eastAsia"/>
                <w:lang w:val="en-US" w:eastAsia="zh-CN"/>
              </w:rPr>
              <w:t>项目建设对区域</w:t>
            </w:r>
            <w:r>
              <w:t>植物物种及植被类型没有较大的影响，不会有植物物种和植被类型消失，评价区域内无重点保护野生植物分布，工程不会对国家重点保护野生植物产生影响。</w:t>
            </w:r>
          </w:p>
          <w:p w14:paraId="59864056">
            <w:pPr>
              <w:pStyle w:val="36"/>
              <w:ind w:firstLine="480"/>
              <w:rPr>
                <w:rFonts w:hint="default"/>
              </w:rPr>
            </w:pPr>
          </w:p>
          <w:p w14:paraId="4E0F1825">
            <w:pPr>
              <w:pStyle w:val="18"/>
              <w:rPr>
                <w:color w:val="000000" w:themeColor="text1"/>
                <w14:textFill>
                  <w14:solidFill>
                    <w14:schemeClr w14:val="tx1"/>
                  </w14:solidFill>
                </w14:textFill>
              </w:rPr>
            </w:pPr>
          </w:p>
          <w:p w14:paraId="0D27450B">
            <w:pPr>
              <w:pStyle w:val="18"/>
              <w:rPr>
                <w:color w:val="000000" w:themeColor="text1"/>
                <w14:textFill>
                  <w14:solidFill>
                    <w14:schemeClr w14:val="tx1"/>
                  </w14:solidFill>
                </w14:textFill>
              </w:rPr>
            </w:pPr>
          </w:p>
          <w:p w14:paraId="5F6AE67B">
            <w:pPr>
              <w:pStyle w:val="18"/>
              <w:rPr>
                <w:color w:val="000000" w:themeColor="text1"/>
                <w14:textFill>
                  <w14:solidFill>
                    <w14:schemeClr w14:val="tx1"/>
                  </w14:solidFill>
                </w14:textFill>
              </w:rPr>
            </w:pPr>
          </w:p>
          <w:p w14:paraId="44AAA61E">
            <w:pPr>
              <w:pStyle w:val="18"/>
              <w:rPr>
                <w:color w:val="000000" w:themeColor="text1"/>
                <w14:textFill>
                  <w14:solidFill>
                    <w14:schemeClr w14:val="tx1"/>
                  </w14:solidFill>
                </w14:textFill>
              </w:rPr>
            </w:pPr>
          </w:p>
          <w:p w14:paraId="48832920">
            <w:pPr>
              <w:pStyle w:val="18"/>
              <w:rPr>
                <w:color w:val="000000" w:themeColor="text1"/>
                <w14:textFill>
                  <w14:solidFill>
                    <w14:schemeClr w14:val="tx1"/>
                  </w14:solidFill>
                </w14:textFill>
              </w:rPr>
            </w:pPr>
          </w:p>
          <w:p w14:paraId="13A52B76">
            <w:pPr>
              <w:pStyle w:val="18"/>
              <w:rPr>
                <w:color w:val="000000" w:themeColor="text1"/>
                <w14:textFill>
                  <w14:solidFill>
                    <w14:schemeClr w14:val="tx1"/>
                  </w14:solidFill>
                </w14:textFill>
              </w:rPr>
            </w:pPr>
          </w:p>
          <w:p w14:paraId="0FE13E05">
            <w:pPr>
              <w:pStyle w:val="18"/>
              <w:rPr>
                <w:color w:val="000000" w:themeColor="text1"/>
                <w14:textFill>
                  <w14:solidFill>
                    <w14:schemeClr w14:val="tx1"/>
                  </w14:solidFill>
                </w14:textFill>
              </w:rPr>
            </w:pPr>
          </w:p>
          <w:p w14:paraId="11ABA114">
            <w:pPr>
              <w:pStyle w:val="18"/>
              <w:rPr>
                <w:color w:val="000000" w:themeColor="text1"/>
                <w14:textFill>
                  <w14:solidFill>
                    <w14:schemeClr w14:val="tx1"/>
                  </w14:solidFill>
                </w14:textFill>
              </w:rPr>
            </w:pPr>
          </w:p>
          <w:p w14:paraId="3DD5D379">
            <w:pPr>
              <w:pStyle w:val="18"/>
              <w:rPr>
                <w:color w:val="000000" w:themeColor="text1"/>
                <w14:textFill>
                  <w14:solidFill>
                    <w14:schemeClr w14:val="tx1"/>
                  </w14:solidFill>
                </w14:textFill>
              </w:rPr>
            </w:pPr>
          </w:p>
          <w:p w14:paraId="122B6C08">
            <w:pPr>
              <w:pStyle w:val="18"/>
              <w:rPr>
                <w:color w:val="000000" w:themeColor="text1"/>
                <w14:textFill>
                  <w14:solidFill>
                    <w14:schemeClr w14:val="tx1"/>
                  </w14:solidFill>
                </w14:textFill>
              </w:rPr>
            </w:pPr>
          </w:p>
          <w:p w14:paraId="294A8489">
            <w:pPr>
              <w:pStyle w:val="18"/>
              <w:rPr>
                <w:color w:val="000000" w:themeColor="text1"/>
                <w14:textFill>
                  <w14:solidFill>
                    <w14:schemeClr w14:val="tx1"/>
                  </w14:solidFill>
                </w14:textFill>
              </w:rPr>
            </w:pPr>
          </w:p>
          <w:p w14:paraId="20902A41">
            <w:pPr>
              <w:pStyle w:val="18"/>
              <w:rPr>
                <w:color w:val="000000" w:themeColor="text1"/>
                <w14:textFill>
                  <w14:solidFill>
                    <w14:schemeClr w14:val="tx1"/>
                  </w14:solidFill>
                </w14:textFill>
              </w:rPr>
            </w:pPr>
          </w:p>
          <w:p w14:paraId="2229CFD2">
            <w:pPr>
              <w:pStyle w:val="18"/>
              <w:rPr>
                <w:color w:val="000000" w:themeColor="text1"/>
                <w14:textFill>
                  <w14:solidFill>
                    <w14:schemeClr w14:val="tx1"/>
                  </w14:solidFill>
                </w14:textFill>
              </w:rPr>
            </w:pPr>
          </w:p>
          <w:p w14:paraId="0B1DB96B">
            <w:pPr>
              <w:pStyle w:val="18"/>
              <w:rPr>
                <w:color w:val="000000" w:themeColor="text1"/>
                <w14:textFill>
                  <w14:solidFill>
                    <w14:schemeClr w14:val="tx1"/>
                  </w14:solidFill>
                </w14:textFill>
              </w:rPr>
            </w:pPr>
          </w:p>
          <w:p w14:paraId="73516578">
            <w:pPr>
              <w:pStyle w:val="18"/>
              <w:rPr>
                <w:color w:val="000000" w:themeColor="text1"/>
                <w14:textFill>
                  <w14:solidFill>
                    <w14:schemeClr w14:val="tx1"/>
                  </w14:solidFill>
                </w14:textFill>
              </w:rPr>
            </w:pPr>
          </w:p>
          <w:p w14:paraId="775C9DE0">
            <w:pPr>
              <w:pStyle w:val="18"/>
              <w:rPr>
                <w:color w:val="000000" w:themeColor="text1"/>
                <w14:textFill>
                  <w14:solidFill>
                    <w14:schemeClr w14:val="tx1"/>
                  </w14:solidFill>
                </w14:textFill>
              </w:rPr>
            </w:pPr>
          </w:p>
        </w:tc>
      </w:tr>
      <w:tr w14:paraId="73B36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9" w:hRule="atLeast"/>
          <w:jc w:val="center"/>
        </w:trPr>
        <w:tc>
          <w:tcPr>
            <w:tcW w:w="707" w:type="dxa"/>
            <w:tcMar>
              <w:left w:w="28" w:type="dxa"/>
              <w:right w:w="28" w:type="dxa"/>
            </w:tcMar>
            <w:vAlign w:val="center"/>
          </w:tcPr>
          <w:p w14:paraId="6AD83B2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w:t>
            </w:r>
          </w:p>
          <w:p w14:paraId="2E5D132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物排</w:t>
            </w:r>
          </w:p>
          <w:p w14:paraId="3D2B055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放控</w:t>
            </w:r>
          </w:p>
          <w:p w14:paraId="013CE75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制标</w:t>
            </w:r>
          </w:p>
          <w:p w14:paraId="110F9CE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准</w:t>
            </w:r>
          </w:p>
        </w:tc>
        <w:tc>
          <w:tcPr>
            <w:tcW w:w="8864" w:type="dxa"/>
            <w:vAlign w:val="center"/>
          </w:tcPr>
          <w:p w14:paraId="4F4A0E8E">
            <w:pPr>
              <w:pStyle w:val="42"/>
              <w:spacing w:before="120" w:beforeLines="5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1、废水排放标准</w:t>
            </w:r>
          </w:p>
          <w:p w14:paraId="7019BF27">
            <w:pPr>
              <w:pStyle w:val="36"/>
              <w:ind w:firstLine="480"/>
              <w:rPr>
                <w:rFonts w:hint="eastAsia" w:eastAsia="宋体"/>
                <w:color w:val="000000" w:themeColor="text1"/>
                <w:lang w:val="en-US" w:eastAsia="zh-CN"/>
                <w14:textFill>
                  <w14:solidFill>
                    <w14:schemeClr w14:val="tx1"/>
                  </w14:solidFill>
                </w14:textFill>
              </w:rPr>
            </w:pPr>
            <w:r>
              <w:rPr>
                <w:rFonts w:hint="eastAsia"/>
                <w:lang w:eastAsia="zh-CN"/>
              </w:rPr>
              <w:t>宁都县青塘镇污水处理厂工程</w:t>
            </w:r>
            <w:r>
              <w:t>出水水质指标执行《城镇污水处理厂污染物排放标准》（GB18918-2002）一级A标准</w:t>
            </w:r>
            <w:r>
              <w:rPr>
                <w:rFonts w:hint="eastAsia"/>
                <w:lang w:eastAsia="zh-CN"/>
              </w:rPr>
              <w:t>，</w:t>
            </w:r>
            <w:r>
              <w:rPr>
                <w:rFonts w:hint="eastAsia"/>
              </w:rPr>
              <w:t>出水</w:t>
            </w:r>
            <w:r>
              <w:t>排入</w:t>
            </w:r>
            <w:r>
              <w:rPr>
                <w:rFonts w:hint="eastAsia"/>
                <w:lang w:eastAsia="zh-CN"/>
              </w:rPr>
              <w:t>青塘河</w:t>
            </w:r>
            <w:r>
              <w:rPr>
                <w:rFonts w:hint="default"/>
                <w:color w:val="000000" w:themeColor="text1"/>
                <w14:textFill>
                  <w14:solidFill>
                    <w14:schemeClr w14:val="tx1"/>
                  </w14:solidFill>
                </w14:textFill>
              </w:rPr>
              <w:t>。</w:t>
            </w:r>
          </w:p>
          <w:p w14:paraId="31925409">
            <w:pPr>
              <w:pStyle w:val="52"/>
            </w:pPr>
            <w:r>
              <w:t>污水处理设施水污染物排放标准</w:t>
            </w:r>
            <w:r>
              <w:rPr>
                <w:rFonts w:hint="eastAsia"/>
              </w:rPr>
              <w:t>一览表</w:t>
            </w:r>
            <w:r>
              <w:t>（单位：mg/L，pH无量纲）</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8"/>
              <w:gridCol w:w="750"/>
              <w:gridCol w:w="724"/>
              <w:gridCol w:w="790"/>
              <w:gridCol w:w="790"/>
              <w:gridCol w:w="792"/>
              <w:gridCol w:w="646"/>
              <w:gridCol w:w="707"/>
              <w:gridCol w:w="901"/>
              <w:gridCol w:w="1657"/>
            </w:tblGrid>
            <w:tr w14:paraId="08B4D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041" w:type="pct"/>
                  <w:gridSpan w:val="9"/>
                  <w:vAlign w:val="center"/>
                </w:tcPr>
                <w:p w14:paraId="1F4C887C">
                  <w:pPr>
                    <w:adjustRightInd w:val="0"/>
                    <w:snapToGrid w:val="0"/>
                    <w:jc w:val="center"/>
                    <w:rPr>
                      <w:b/>
                      <w:bCs/>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宁都县青塘镇污水处理厂工程</w:t>
                  </w:r>
                </w:p>
              </w:tc>
              <w:tc>
                <w:tcPr>
                  <w:tcW w:w="958" w:type="pct"/>
                  <w:vMerge w:val="restart"/>
                  <w:vAlign w:val="center"/>
                </w:tcPr>
                <w:p w14:paraId="6FCED0F1">
                  <w:pPr>
                    <w:adjustRightInd w:val="0"/>
                    <w:snapToGrid w:val="0"/>
                    <w:jc w:val="center"/>
                    <w:rPr>
                      <w:b/>
                      <w:bCs/>
                      <w:color w:val="000000" w:themeColor="text1"/>
                      <w14:textFill>
                        <w14:solidFill>
                          <w14:schemeClr w14:val="tx1"/>
                        </w14:solidFill>
                      </w14:textFill>
                    </w:rPr>
                  </w:pPr>
                  <w:r>
                    <w:rPr>
                      <w:b/>
                      <w:bCs/>
                    </w:rPr>
                    <w:t>标准类别</w:t>
                  </w:r>
                </w:p>
              </w:tc>
            </w:tr>
            <w:tr w14:paraId="6F70F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13" w:type="pct"/>
                  <w:vAlign w:val="center"/>
                </w:tcPr>
                <w:p w14:paraId="21B66FB6">
                  <w:pPr>
                    <w:pStyle w:val="38"/>
                    <w:rPr>
                      <w:b/>
                      <w:bCs/>
                    </w:rPr>
                  </w:pPr>
                  <w:r>
                    <w:rPr>
                      <w:rFonts w:hint="eastAsia"/>
                      <w:b/>
                      <w:bCs/>
                    </w:rPr>
                    <w:t>项目</w:t>
                  </w:r>
                </w:p>
              </w:tc>
              <w:tc>
                <w:tcPr>
                  <w:tcW w:w="433" w:type="pct"/>
                  <w:vAlign w:val="center"/>
                </w:tcPr>
                <w:p w14:paraId="5B9C0BE8">
                  <w:pPr>
                    <w:pStyle w:val="38"/>
                    <w:rPr>
                      <w:b/>
                      <w:bCs/>
                    </w:rPr>
                  </w:pPr>
                  <w:r>
                    <w:rPr>
                      <w:rFonts w:hint="eastAsia"/>
                      <w:b/>
                      <w:bCs/>
                    </w:rPr>
                    <w:t>p</w:t>
                  </w:r>
                  <w:r>
                    <w:rPr>
                      <w:b/>
                      <w:bCs/>
                    </w:rPr>
                    <w:t>H</w:t>
                  </w:r>
                </w:p>
              </w:tc>
              <w:tc>
                <w:tcPr>
                  <w:tcW w:w="418" w:type="pct"/>
                  <w:vAlign w:val="center"/>
                </w:tcPr>
                <w:p w14:paraId="5CABBBD4">
                  <w:pPr>
                    <w:pStyle w:val="38"/>
                    <w:rPr>
                      <w:b/>
                      <w:bCs/>
                    </w:rPr>
                  </w:pPr>
                  <w:r>
                    <w:rPr>
                      <w:b/>
                      <w:bCs/>
                    </w:rPr>
                    <w:t>COD</w:t>
                  </w:r>
                </w:p>
              </w:tc>
              <w:tc>
                <w:tcPr>
                  <w:tcW w:w="456" w:type="pct"/>
                  <w:vAlign w:val="center"/>
                </w:tcPr>
                <w:p w14:paraId="696F84D4">
                  <w:pPr>
                    <w:pStyle w:val="38"/>
                    <w:rPr>
                      <w:b/>
                      <w:bCs/>
                    </w:rPr>
                  </w:pPr>
                  <w:r>
                    <w:rPr>
                      <w:rFonts w:hint="default"/>
                    </w:rPr>
                    <w:t>BOD</w:t>
                  </w:r>
                  <w:r>
                    <w:rPr>
                      <w:rFonts w:hint="default"/>
                      <w:vertAlign w:val="subscript"/>
                    </w:rPr>
                    <w:t>5</w:t>
                  </w:r>
                </w:p>
              </w:tc>
              <w:tc>
                <w:tcPr>
                  <w:tcW w:w="456" w:type="pct"/>
                  <w:vAlign w:val="center"/>
                </w:tcPr>
                <w:p w14:paraId="032A810A">
                  <w:pPr>
                    <w:pStyle w:val="38"/>
                    <w:rPr>
                      <w:b/>
                      <w:bCs/>
                    </w:rPr>
                  </w:pPr>
                  <w:r>
                    <w:rPr>
                      <w:b/>
                      <w:bCs/>
                    </w:rPr>
                    <w:t>氨氮</w:t>
                  </w:r>
                </w:p>
              </w:tc>
              <w:tc>
                <w:tcPr>
                  <w:tcW w:w="458" w:type="pct"/>
                  <w:vAlign w:val="center"/>
                </w:tcPr>
                <w:p w14:paraId="508CC6A5">
                  <w:pPr>
                    <w:pStyle w:val="38"/>
                    <w:rPr>
                      <w:b/>
                      <w:bCs/>
                    </w:rPr>
                  </w:pPr>
                  <w:r>
                    <w:rPr>
                      <w:b/>
                      <w:bCs/>
                    </w:rPr>
                    <w:t>SS</w:t>
                  </w:r>
                </w:p>
              </w:tc>
              <w:tc>
                <w:tcPr>
                  <w:tcW w:w="373" w:type="pct"/>
                  <w:vAlign w:val="center"/>
                </w:tcPr>
                <w:p w14:paraId="3B2187AA">
                  <w:pPr>
                    <w:pStyle w:val="38"/>
                    <w:rPr>
                      <w:b/>
                      <w:bCs/>
                    </w:rPr>
                  </w:pPr>
                  <w:r>
                    <w:rPr>
                      <w:b/>
                      <w:bCs/>
                    </w:rPr>
                    <w:t>总氮</w:t>
                  </w:r>
                </w:p>
              </w:tc>
              <w:tc>
                <w:tcPr>
                  <w:tcW w:w="408" w:type="pct"/>
                  <w:vAlign w:val="center"/>
                </w:tcPr>
                <w:p w14:paraId="470B3672">
                  <w:pPr>
                    <w:pStyle w:val="38"/>
                    <w:rPr>
                      <w:b/>
                      <w:bCs/>
                    </w:rPr>
                  </w:pPr>
                  <w:r>
                    <w:rPr>
                      <w:rFonts w:hint="eastAsia"/>
                      <w:b/>
                      <w:bCs/>
                    </w:rPr>
                    <w:t>总磷</w:t>
                  </w:r>
                </w:p>
              </w:tc>
              <w:tc>
                <w:tcPr>
                  <w:tcW w:w="521" w:type="pct"/>
                  <w:vAlign w:val="center"/>
                </w:tcPr>
                <w:p w14:paraId="553B6B72">
                  <w:pPr>
                    <w:pStyle w:val="38"/>
                    <w:rPr>
                      <w:b/>
                      <w:bCs/>
                    </w:rPr>
                  </w:pPr>
                  <w:r>
                    <w:rPr>
                      <w:rFonts w:hint="eastAsia"/>
                      <w:b/>
                      <w:bCs/>
                    </w:rPr>
                    <w:t>粪大肠菌群</w:t>
                  </w:r>
                </w:p>
              </w:tc>
              <w:tc>
                <w:tcPr>
                  <w:tcW w:w="958" w:type="pct"/>
                  <w:vMerge w:val="continue"/>
                  <w:vAlign w:val="center"/>
                </w:tcPr>
                <w:p w14:paraId="1B7DEC97">
                  <w:pPr>
                    <w:pStyle w:val="38"/>
                  </w:pPr>
                </w:p>
              </w:tc>
            </w:tr>
            <w:tr w14:paraId="4F227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13" w:type="pct"/>
                  <w:vAlign w:val="center"/>
                </w:tcPr>
                <w:p w14:paraId="5DAFC2BC">
                  <w:pPr>
                    <w:pStyle w:val="38"/>
                  </w:pPr>
                  <w:r>
                    <w:t>标准值</w:t>
                  </w:r>
                </w:p>
              </w:tc>
              <w:tc>
                <w:tcPr>
                  <w:tcW w:w="433" w:type="pct"/>
                  <w:vAlign w:val="center"/>
                </w:tcPr>
                <w:p w14:paraId="21502C94">
                  <w:pPr>
                    <w:pStyle w:val="38"/>
                  </w:pPr>
                  <w:r>
                    <w:t>6</w:t>
                  </w:r>
                  <w:r>
                    <w:rPr>
                      <w:rFonts w:hint="eastAsia"/>
                    </w:rPr>
                    <w:t>~</w:t>
                  </w:r>
                  <w:r>
                    <w:t>9</w:t>
                  </w:r>
                </w:p>
              </w:tc>
              <w:tc>
                <w:tcPr>
                  <w:tcW w:w="418" w:type="pct"/>
                  <w:vAlign w:val="center"/>
                </w:tcPr>
                <w:p w14:paraId="6F317087">
                  <w:pPr>
                    <w:pStyle w:val="38"/>
                  </w:pPr>
                  <w:r>
                    <w:rPr>
                      <w:rFonts w:hint="eastAsia"/>
                    </w:rPr>
                    <w:t>50</w:t>
                  </w:r>
                </w:p>
              </w:tc>
              <w:tc>
                <w:tcPr>
                  <w:tcW w:w="456" w:type="pct"/>
                  <w:vAlign w:val="center"/>
                </w:tcPr>
                <w:p w14:paraId="56924A0E">
                  <w:pPr>
                    <w:pStyle w:val="38"/>
                  </w:pPr>
                  <w:r>
                    <w:t>1</w:t>
                  </w:r>
                  <w:r>
                    <w:rPr>
                      <w:rFonts w:hint="eastAsia"/>
                    </w:rPr>
                    <w:t>0</w:t>
                  </w:r>
                </w:p>
              </w:tc>
              <w:tc>
                <w:tcPr>
                  <w:tcW w:w="456" w:type="pct"/>
                  <w:vAlign w:val="center"/>
                </w:tcPr>
                <w:p w14:paraId="65B701DE">
                  <w:pPr>
                    <w:pStyle w:val="38"/>
                  </w:pPr>
                  <w:r>
                    <w:rPr>
                      <w:rFonts w:hint="eastAsia"/>
                    </w:rPr>
                    <w:t>5</w:t>
                  </w:r>
                  <w:r>
                    <w:t>（</w:t>
                  </w:r>
                  <w:r>
                    <w:rPr>
                      <w:rFonts w:hint="eastAsia"/>
                    </w:rPr>
                    <w:t>8</w:t>
                  </w:r>
                  <w:r>
                    <w:t>）</w:t>
                  </w:r>
                </w:p>
              </w:tc>
              <w:tc>
                <w:tcPr>
                  <w:tcW w:w="458" w:type="pct"/>
                  <w:vAlign w:val="center"/>
                </w:tcPr>
                <w:p w14:paraId="63A66F73">
                  <w:pPr>
                    <w:pStyle w:val="38"/>
                  </w:pPr>
                  <w:r>
                    <w:t>1</w:t>
                  </w:r>
                  <w:r>
                    <w:rPr>
                      <w:rFonts w:hint="eastAsia"/>
                    </w:rPr>
                    <w:t>0</w:t>
                  </w:r>
                </w:p>
              </w:tc>
              <w:tc>
                <w:tcPr>
                  <w:tcW w:w="373" w:type="pct"/>
                  <w:vAlign w:val="center"/>
                </w:tcPr>
                <w:p w14:paraId="69DA0479">
                  <w:pPr>
                    <w:pStyle w:val="38"/>
                  </w:pPr>
                  <w:r>
                    <w:t>15</w:t>
                  </w:r>
                </w:p>
              </w:tc>
              <w:tc>
                <w:tcPr>
                  <w:tcW w:w="408" w:type="pct"/>
                  <w:vAlign w:val="center"/>
                </w:tcPr>
                <w:p w14:paraId="33AD2C77">
                  <w:pPr>
                    <w:pStyle w:val="38"/>
                  </w:pPr>
                  <w:r>
                    <w:rPr>
                      <w:rFonts w:hint="eastAsia"/>
                    </w:rPr>
                    <w:t>0.5</w:t>
                  </w:r>
                </w:p>
              </w:tc>
              <w:tc>
                <w:tcPr>
                  <w:tcW w:w="521" w:type="pct"/>
                  <w:vAlign w:val="center"/>
                </w:tcPr>
                <w:p w14:paraId="7F8FF8B6">
                  <w:pPr>
                    <w:pStyle w:val="38"/>
                  </w:pPr>
                  <w:r>
                    <w:rPr>
                      <w:rFonts w:hint="eastAsia"/>
                    </w:rPr>
                    <w:t>1000个/L</w:t>
                  </w:r>
                </w:p>
              </w:tc>
              <w:tc>
                <w:tcPr>
                  <w:tcW w:w="958" w:type="pct"/>
                  <w:vAlign w:val="center"/>
                </w:tcPr>
                <w:p w14:paraId="0049FB59">
                  <w:pPr>
                    <w:pStyle w:val="38"/>
                  </w:pPr>
                  <w:r>
                    <w:t>GB18918-2002一级A标准</w:t>
                  </w:r>
                </w:p>
              </w:tc>
            </w:tr>
          </w:tbl>
          <w:p w14:paraId="600CD622">
            <w:pPr>
              <w:pStyle w:val="42"/>
              <w:spacing w:before="120" w:beforeLines="5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2、废气排放标准</w:t>
            </w:r>
          </w:p>
          <w:p w14:paraId="6EA81D46">
            <w:pPr>
              <w:pStyle w:val="36"/>
              <w:ind w:firstLine="480"/>
              <w:rPr>
                <w:rFonts w:hint="default"/>
              </w:rPr>
            </w:pPr>
            <w:r>
              <w:t>本项目污水处理工程恶臭污染物厂界最高允许排放浓度执行《城镇污水处理厂污染物排放标准》(GB18918-2002)表4二级标准，污水处理工程废气有组织排放执行《恶臭污染物排放标准》(GB14554-93)表2标准要求</w:t>
            </w:r>
            <w:r>
              <w:rPr>
                <w:rFonts w:hint="eastAsia"/>
                <w:lang w:eastAsia="zh-CN"/>
              </w:rPr>
              <w:t>，</w:t>
            </w:r>
            <w:r>
              <w:rPr>
                <w:rFonts w:hint="eastAsia"/>
                <w:lang w:val="en-US" w:eastAsia="zh-CN"/>
              </w:rPr>
              <w:t>具体限值见下表</w:t>
            </w:r>
            <w:r>
              <w:t>。</w:t>
            </w:r>
          </w:p>
          <w:p w14:paraId="7E09B292">
            <w:pPr>
              <w:pStyle w:val="52"/>
            </w:pPr>
            <w:r>
              <w:rPr>
                <w:rFonts w:hint="eastAsia"/>
              </w:rPr>
              <w:t>废气污染物</w:t>
            </w:r>
            <w:r>
              <w:t>排放标准</w:t>
            </w:r>
            <w:r>
              <w:rPr>
                <w:rFonts w:hint="eastAsia"/>
              </w:rPr>
              <w:t>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736"/>
              <w:gridCol w:w="1065"/>
              <w:gridCol w:w="1247"/>
              <w:gridCol w:w="1893"/>
              <w:gridCol w:w="2094"/>
            </w:tblGrid>
            <w:tr w14:paraId="6B04D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vAlign w:val="center"/>
                </w:tcPr>
                <w:p w14:paraId="256647D7">
                  <w:pPr>
                    <w:pStyle w:val="165"/>
                    <w:snapToGrid w:val="0"/>
                    <w:rPr>
                      <w:b/>
                      <w:bCs/>
                    </w:rPr>
                  </w:pPr>
                  <w:bookmarkStart w:id="28" w:name="_Ref8038"/>
                  <w:r>
                    <w:rPr>
                      <w:b/>
                      <w:bCs/>
                    </w:rPr>
                    <w:t>序号</w:t>
                  </w:r>
                </w:p>
              </w:tc>
              <w:tc>
                <w:tcPr>
                  <w:tcW w:w="1003" w:type="pct"/>
                  <w:tcBorders>
                    <w:tl2br w:val="nil"/>
                    <w:tr2bl w:val="nil"/>
                  </w:tcBorders>
                  <w:vAlign w:val="center"/>
                </w:tcPr>
                <w:p w14:paraId="47C452DA">
                  <w:pPr>
                    <w:pStyle w:val="165"/>
                    <w:snapToGrid w:val="0"/>
                    <w:rPr>
                      <w:b/>
                      <w:bCs/>
                    </w:rPr>
                  </w:pPr>
                  <w:r>
                    <w:rPr>
                      <w:b/>
                      <w:bCs/>
                    </w:rPr>
                    <w:t>控制项目</w:t>
                  </w:r>
                </w:p>
              </w:tc>
              <w:tc>
                <w:tcPr>
                  <w:tcW w:w="616" w:type="pct"/>
                  <w:tcBorders>
                    <w:tl2br w:val="nil"/>
                    <w:tr2bl w:val="nil"/>
                  </w:tcBorders>
                  <w:vAlign w:val="center"/>
                </w:tcPr>
                <w:p w14:paraId="72948B43">
                  <w:pPr>
                    <w:pStyle w:val="165"/>
                    <w:snapToGrid w:val="0"/>
                    <w:rPr>
                      <w:b/>
                      <w:bCs/>
                    </w:rPr>
                  </w:pPr>
                  <w:r>
                    <w:rPr>
                      <w:b/>
                      <w:bCs/>
                    </w:rPr>
                    <w:t>排气筒高度（m）</w:t>
                  </w:r>
                </w:p>
              </w:tc>
              <w:tc>
                <w:tcPr>
                  <w:tcW w:w="721" w:type="pct"/>
                  <w:tcBorders>
                    <w:tl2br w:val="nil"/>
                    <w:tr2bl w:val="nil"/>
                  </w:tcBorders>
                  <w:vAlign w:val="center"/>
                </w:tcPr>
                <w:p w14:paraId="417223CD">
                  <w:pPr>
                    <w:pStyle w:val="165"/>
                    <w:snapToGrid w:val="0"/>
                    <w:rPr>
                      <w:b/>
                      <w:bCs/>
                    </w:rPr>
                  </w:pPr>
                  <w:r>
                    <w:rPr>
                      <w:b/>
                      <w:bCs/>
                    </w:rPr>
                    <w:t>二级标准</w:t>
                  </w:r>
                </w:p>
                <w:p w14:paraId="24D90BF2">
                  <w:pPr>
                    <w:pStyle w:val="165"/>
                    <w:snapToGrid w:val="0"/>
                    <w:rPr>
                      <w:b/>
                      <w:bCs/>
                    </w:rPr>
                  </w:pPr>
                  <w:r>
                    <w:rPr>
                      <w:b/>
                      <w:bCs/>
                    </w:rPr>
                    <w:t>（kg/h</w:t>
                  </w:r>
                  <w:r>
                    <w:rPr>
                      <w:rFonts w:hint="eastAsia"/>
                      <w:b/>
                      <w:bCs/>
                    </w:rPr>
                    <w:t>）</w:t>
                  </w:r>
                </w:p>
              </w:tc>
              <w:tc>
                <w:tcPr>
                  <w:tcW w:w="1094" w:type="pct"/>
                  <w:tcBorders>
                    <w:tl2br w:val="nil"/>
                    <w:tr2bl w:val="nil"/>
                  </w:tcBorders>
                  <w:vAlign w:val="center"/>
                </w:tcPr>
                <w:p w14:paraId="3EC36AE7">
                  <w:pPr>
                    <w:pStyle w:val="165"/>
                    <w:snapToGrid w:val="0"/>
                    <w:rPr>
                      <w:b/>
                      <w:bCs/>
                    </w:rPr>
                  </w:pPr>
                  <w:r>
                    <w:rPr>
                      <w:b/>
                      <w:bCs/>
                    </w:rPr>
                    <w:t>厂界无组织浓度限值（mg/</w:t>
                  </w:r>
                  <w:r>
                    <w:t>m</w:t>
                  </w:r>
                  <w:r>
                    <w:rPr>
                      <w:vertAlign w:val="superscript"/>
                    </w:rPr>
                    <w:t>3</w:t>
                  </w:r>
                  <w:r>
                    <w:rPr>
                      <w:b/>
                      <w:bCs/>
                    </w:rPr>
                    <w:t>）</w:t>
                  </w:r>
                </w:p>
              </w:tc>
              <w:tc>
                <w:tcPr>
                  <w:tcW w:w="1210" w:type="pct"/>
                  <w:tcBorders>
                    <w:tl2br w:val="nil"/>
                    <w:tr2bl w:val="nil"/>
                  </w:tcBorders>
                  <w:vAlign w:val="center"/>
                </w:tcPr>
                <w:p w14:paraId="3FEAF7E0">
                  <w:pPr>
                    <w:pStyle w:val="165"/>
                    <w:snapToGrid w:val="0"/>
                    <w:rPr>
                      <w:b/>
                      <w:bCs/>
                    </w:rPr>
                  </w:pPr>
                  <w:r>
                    <w:rPr>
                      <w:b/>
                      <w:bCs/>
                    </w:rPr>
                    <w:t>标准</w:t>
                  </w:r>
                </w:p>
              </w:tc>
            </w:tr>
            <w:tr w14:paraId="2F1FA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vAlign w:val="center"/>
                </w:tcPr>
                <w:p w14:paraId="5DBF7094">
                  <w:pPr>
                    <w:pStyle w:val="165"/>
                    <w:snapToGrid w:val="0"/>
                  </w:pPr>
                  <w:r>
                    <w:t>1</w:t>
                  </w:r>
                </w:p>
              </w:tc>
              <w:tc>
                <w:tcPr>
                  <w:tcW w:w="1003" w:type="pct"/>
                  <w:tcBorders>
                    <w:tl2br w:val="nil"/>
                    <w:tr2bl w:val="nil"/>
                  </w:tcBorders>
                  <w:vAlign w:val="center"/>
                </w:tcPr>
                <w:p w14:paraId="0BF7EB47">
                  <w:pPr>
                    <w:pStyle w:val="165"/>
                    <w:snapToGrid w:val="0"/>
                  </w:pPr>
                  <w:r>
                    <w:rPr>
                      <w:szCs w:val="21"/>
                    </w:rPr>
                    <w:t>NH</w:t>
                  </w:r>
                  <w:r>
                    <w:rPr>
                      <w:szCs w:val="21"/>
                      <w:vertAlign w:val="subscript"/>
                    </w:rPr>
                    <w:t>3</w:t>
                  </w:r>
                </w:p>
              </w:tc>
              <w:tc>
                <w:tcPr>
                  <w:tcW w:w="616" w:type="pct"/>
                  <w:tcBorders>
                    <w:tl2br w:val="nil"/>
                    <w:tr2bl w:val="nil"/>
                  </w:tcBorders>
                  <w:vAlign w:val="center"/>
                </w:tcPr>
                <w:p w14:paraId="2854E2A1">
                  <w:pPr>
                    <w:pStyle w:val="38"/>
                  </w:pPr>
                  <w:r>
                    <w:t>15</w:t>
                  </w:r>
                </w:p>
              </w:tc>
              <w:tc>
                <w:tcPr>
                  <w:tcW w:w="721" w:type="pct"/>
                  <w:tcBorders>
                    <w:tl2br w:val="nil"/>
                    <w:tr2bl w:val="nil"/>
                  </w:tcBorders>
                  <w:vAlign w:val="center"/>
                </w:tcPr>
                <w:p w14:paraId="55FAC625">
                  <w:pPr>
                    <w:pStyle w:val="165"/>
                    <w:snapToGrid w:val="0"/>
                  </w:pPr>
                  <w:r>
                    <w:t>4.9</w:t>
                  </w:r>
                </w:p>
              </w:tc>
              <w:tc>
                <w:tcPr>
                  <w:tcW w:w="1094" w:type="pct"/>
                  <w:tcBorders>
                    <w:tl2br w:val="nil"/>
                    <w:tr2bl w:val="nil"/>
                  </w:tcBorders>
                  <w:vAlign w:val="center"/>
                </w:tcPr>
                <w:p w14:paraId="4119537A">
                  <w:pPr>
                    <w:pStyle w:val="165"/>
                    <w:snapToGrid w:val="0"/>
                  </w:pPr>
                  <w:r>
                    <w:t>1.5</w:t>
                  </w:r>
                </w:p>
              </w:tc>
              <w:tc>
                <w:tcPr>
                  <w:tcW w:w="1210" w:type="pct"/>
                  <w:vMerge w:val="restart"/>
                  <w:tcBorders>
                    <w:tl2br w:val="nil"/>
                    <w:tr2bl w:val="nil"/>
                  </w:tcBorders>
                  <w:vAlign w:val="center"/>
                </w:tcPr>
                <w:p w14:paraId="4A5A5DC6">
                  <w:pPr>
                    <w:pStyle w:val="165"/>
                    <w:snapToGrid w:val="0"/>
                  </w:pPr>
                  <w:r>
                    <w:t>《恶臭污染物排放标准》（GB14544-93）、《城镇污水处理厂污染物排放标准》（GB18918-2002）</w:t>
                  </w:r>
                </w:p>
              </w:tc>
            </w:tr>
            <w:tr w14:paraId="001C2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vAlign w:val="center"/>
                </w:tcPr>
                <w:p w14:paraId="1254FF30">
                  <w:pPr>
                    <w:pStyle w:val="165"/>
                    <w:snapToGrid w:val="0"/>
                  </w:pPr>
                  <w:r>
                    <w:t>2</w:t>
                  </w:r>
                </w:p>
              </w:tc>
              <w:tc>
                <w:tcPr>
                  <w:tcW w:w="1003" w:type="pct"/>
                  <w:tcBorders>
                    <w:tl2br w:val="nil"/>
                    <w:tr2bl w:val="nil"/>
                  </w:tcBorders>
                  <w:vAlign w:val="center"/>
                </w:tcPr>
                <w:p w14:paraId="3C76CD24">
                  <w:pPr>
                    <w:pStyle w:val="165"/>
                    <w:snapToGrid w:val="0"/>
                  </w:pPr>
                  <w:r>
                    <w:rPr>
                      <w:szCs w:val="21"/>
                    </w:rPr>
                    <w:t>H</w:t>
                  </w:r>
                  <w:r>
                    <w:rPr>
                      <w:szCs w:val="21"/>
                      <w:vertAlign w:val="subscript"/>
                    </w:rPr>
                    <w:t>2</w:t>
                  </w:r>
                  <w:r>
                    <w:rPr>
                      <w:szCs w:val="21"/>
                    </w:rPr>
                    <w:t>S</w:t>
                  </w:r>
                </w:p>
              </w:tc>
              <w:tc>
                <w:tcPr>
                  <w:tcW w:w="616" w:type="pct"/>
                  <w:tcBorders>
                    <w:tl2br w:val="nil"/>
                    <w:tr2bl w:val="nil"/>
                  </w:tcBorders>
                  <w:vAlign w:val="center"/>
                </w:tcPr>
                <w:p w14:paraId="78AE45C3">
                  <w:pPr>
                    <w:pStyle w:val="38"/>
                  </w:pPr>
                  <w:r>
                    <w:t>15</w:t>
                  </w:r>
                </w:p>
              </w:tc>
              <w:tc>
                <w:tcPr>
                  <w:tcW w:w="721" w:type="pct"/>
                  <w:tcBorders>
                    <w:tl2br w:val="nil"/>
                    <w:tr2bl w:val="nil"/>
                  </w:tcBorders>
                  <w:vAlign w:val="center"/>
                </w:tcPr>
                <w:p w14:paraId="430AE8B0">
                  <w:pPr>
                    <w:pStyle w:val="165"/>
                    <w:snapToGrid w:val="0"/>
                  </w:pPr>
                  <w:r>
                    <w:t>0.33</w:t>
                  </w:r>
                </w:p>
              </w:tc>
              <w:tc>
                <w:tcPr>
                  <w:tcW w:w="1094" w:type="pct"/>
                  <w:tcBorders>
                    <w:tl2br w:val="nil"/>
                    <w:tr2bl w:val="nil"/>
                  </w:tcBorders>
                  <w:vAlign w:val="center"/>
                </w:tcPr>
                <w:p w14:paraId="271180B9">
                  <w:pPr>
                    <w:pStyle w:val="165"/>
                    <w:snapToGrid w:val="0"/>
                  </w:pPr>
                  <w:r>
                    <w:t>0.06</w:t>
                  </w:r>
                </w:p>
              </w:tc>
              <w:tc>
                <w:tcPr>
                  <w:tcW w:w="1210" w:type="pct"/>
                  <w:vMerge w:val="continue"/>
                  <w:tcBorders>
                    <w:tl2br w:val="nil"/>
                    <w:tr2bl w:val="nil"/>
                  </w:tcBorders>
                  <w:vAlign w:val="center"/>
                </w:tcPr>
                <w:p w14:paraId="085DF274">
                  <w:pPr>
                    <w:pStyle w:val="165"/>
                    <w:snapToGrid w:val="0"/>
                  </w:pPr>
                </w:p>
              </w:tc>
            </w:tr>
            <w:tr w14:paraId="7351C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vAlign w:val="center"/>
                </w:tcPr>
                <w:p w14:paraId="59868B36">
                  <w:pPr>
                    <w:pStyle w:val="165"/>
                    <w:snapToGrid w:val="0"/>
                  </w:pPr>
                  <w:r>
                    <w:t>3</w:t>
                  </w:r>
                </w:p>
              </w:tc>
              <w:tc>
                <w:tcPr>
                  <w:tcW w:w="1003" w:type="pct"/>
                  <w:tcBorders>
                    <w:tl2br w:val="nil"/>
                    <w:tr2bl w:val="nil"/>
                  </w:tcBorders>
                  <w:vAlign w:val="center"/>
                </w:tcPr>
                <w:p w14:paraId="04E2867F">
                  <w:pPr>
                    <w:pStyle w:val="165"/>
                    <w:snapToGrid w:val="0"/>
                  </w:pPr>
                  <w:r>
                    <w:t>臭气浓度</w:t>
                  </w:r>
                </w:p>
                <w:p w14:paraId="54DCAC7E">
                  <w:pPr>
                    <w:pStyle w:val="165"/>
                    <w:snapToGrid w:val="0"/>
                  </w:pPr>
                  <w:r>
                    <w:t>（无量纲）</w:t>
                  </w:r>
                </w:p>
              </w:tc>
              <w:tc>
                <w:tcPr>
                  <w:tcW w:w="616" w:type="pct"/>
                  <w:tcBorders>
                    <w:tl2br w:val="nil"/>
                    <w:tr2bl w:val="nil"/>
                  </w:tcBorders>
                  <w:vAlign w:val="center"/>
                </w:tcPr>
                <w:p w14:paraId="1C896CEB">
                  <w:pPr>
                    <w:pStyle w:val="38"/>
                  </w:pPr>
                  <w:r>
                    <w:t>15</w:t>
                  </w:r>
                </w:p>
              </w:tc>
              <w:tc>
                <w:tcPr>
                  <w:tcW w:w="721" w:type="pct"/>
                  <w:tcBorders>
                    <w:tl2br w:val="nil"/>
                    <w:tr2bl w:val="nil"/>
                  </w:tcBorders>
                  <w:vAlign w:val="center"/>
                </w:tcPr>
                <w:p w14:paraId="3C79CC94">
                  <w:pPr>
                    <w:pStyle w:val="165"/>
                    <w:snapToGrid w:val="0"/>
                  </w:pPr>
                  <w:r>
                    <w:t>2000</w:t>
                  </w:r>
                </w:p>
              </w:tc>
              <w:tc>
                <w:tcPr>
                  <w:tcW w:w="1094" w:type="pct"/>
                  <w:tcBorders>
                    <w:tl2br w:val="nil"/>
                    <w:tr2bl w:val="nil"/>
                  </w:tcBorders>
                  <w:vAlign w:val="center"/>
                </w:tcPr>
                <w:p w14:paraId="681F8845">
                  <w:pPr>
                    <w:pStyle w:val="165"/>
                    <w:snapToGrid w:val="0"/>
                  </w:pPr>
                  <w:r>
                    <w:t>20</w:t>
                  </w:r>
                </w:p>
              </w:tc>
              <w:tc>
                <w:tcPr>
                  <w:tcW w:w="1210" w:type="pct"/>
                  <w:vMerge w:val="continue"/>
                  <w:tcBorders>
                    <w:tl2br w:val="nil"/>
                    <w:tr2bl w:val="nil"/>
                  </w:tcBorders>
                  <w:vAlign w:val="center"/>
                </w:tcPr>
                <w:p w14:paraId="05C943FE">
                  <w:pPr>
                    <w:pStyle w:val="165"/>
                    <w:snapToGrid w:val="0"/>
                  </w:pPr>
                </w:p>
              </w:tc>
            </w:tr>
            <w:tr w14:paraId="43F78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vAlign w:val="center"/>
                </w:tcPr>
                <w:p w14:paraId="0B38DB3B">
                  <w:pPr>
                    <w:pStyle w:val="165"/>
                    <w:snapToGrid w:val="0"/>
                  </w:pPr>
                  <w:r>
                    <w:rPr>
                      <w:rFonts w:hint="eastAsia"/>
                    </w:rPr>
                    <w:t>4</w:t>
                  </w:r>
                </w:p>
              </w:tc>
              <w:tc>
                <w:tcPr>
                  <w:tcW w:w="1003" w:type="pct"/>
                  <w:tcBorders>
                    <w:tl2br w:val="nil"/>
                    <w:tr2bl w:val="nil"/>
                  </w:tcBorders>
                  <w:vAlign w:val="center"/>
                </w:tcPr>
                <w:p w14:paraId="2F822F6B">
                  <w:pPr>
                    <w:pStyle w:val="165"/>
                    <w:snapToGrid w:val="0"/>
                  </w:pPr>
                  <w:r>
                    <w:rPr>
                      <w:rFonts w:hint="eastAsia"/>
                    </w:rPr>
                    <w:t>甲烷（厂区最高体积浓度%）</w:t>
                  </w:r>
                </w:p>
              </w:tc>
              <w:tc>
                <w:tcPr>
                  <w:tcW w:w="616" w:type="pct"/>
                  <w:tcBorders>
                    <w:tl2br w:val="nil"/>
                    <w:tr2bl w:val="nil"/>
                  </w:tcBorders>
                  <w:vAlign w:val="center"/>
                </w:tcPr>
                <w:p w14:paraId="39E9FA15">
                  <w:pPr>
                    <w:pStyle w:val="38"/>
                  </w:pPr>
                  <w:r>
                    <w:rPr>
                      <w:rFonts w:hint="eastAsia"/>
                    </w:rPr>
                    <w:t>/</w:t>
                  </w:r>
                </w:p>
              </w:tc>
              <w:tc>
                <w:tcPr>
                  <w:tcW w:w="721" w:type="pct"/>
                  <w:tcBorders>
                    <w:tl2br w:val="nil"/>
                    <w:tr2bl w:val="nil"/>
                  </w:tcBorders>
                  <w:vAlign w:val="center"/>
                </w:tcPr>
                <w:p w14:paraId="2F565BEE">
                  <w:pPr>
                    <w:pStyle w:val="165"/>
                    <w:snapToGrid w:val="0"/>
                  </w:pPr>
                  <w:r>
                    <w:rPr>
                      <w:rFonts w:hint="eastAsia"/>
                    </w:rPr>
                    <w:t>/</w:t>
                  </w:r>
                </w:p>
              </w:tc>
              <w:tc>
                <w:tcPr>
                  <w:tcW w:w="1094" w:type="pct"/>
                  <w:tcBorders>
                    <w:tl2br w:val="nil"/>
                    <w:tr2bl w:val="nil"/>
                  </w:tcBorders>
                  <w:vAlign w:val="center"/>
                </w:tcPr>
                <w:p w14:paraId="451A4B24">
                  <w:pPr>
                    <w:pStyle w:val="165"/>
                    <w:snapToGrid w:val="0"/>
                  </w:pPr>
                  <w:r>
                    <w:rPr>
                      <w:rFonts w:hint="eastAsia"/>
                    </w:rPr>
                    <w:t>1</w:t>
                  </w:r>
                </w:p>
              </w:tc>
              <w:tc>
                <w:tcPr>
                  <w:tcW w:w="1210" w:type="pct"/>
                  <w:vMerge w:val="continue"/>
                  <w:tcBorders>
                    <w:tl2br w:val="nil"/>
                    <w:tr2bl w:val="nil"/>
                  </w:tcBorders>
                  <w:vAlign w:val="center"/>
                </w:tcPr>
                <w:p w14:paraId="64EA7329">
                  <w:pPr>
                    <w:pStyle w:val="165"/>
                    <w:snapToGrid w:val="0"/>
                  </w:pPr>
                </w:p>
              </w:tc>
            </w:tr>
            <w:bookmarkEnd w:id="28"/>
          </w:tbl>
          <w:p w14:paraId="1E3F2368">
            <w:pPr>
              <w:pStyle w:val="42"/>
              <w:spacing w:before="120" w:beforeLines="5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3、噪声排放标准</w:t>
            </w:r>
          </w:p>
          <w:p w14:paraId="3324B44F">
            <w:pPr>
              <w:pStyle w:val="4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施工期场界噪声排放执行《建筑施工场界环境噪声排放标准》（GB12523-2011）排放限值。</w:t>
            </w:r>
          </w:p>
          <w:p w14:paraId="0E3ED5F5">
            <w:pPr>
              <w:pStyle w:val="4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运营期厂界噪声排放执行《工业企业厂界环境噪声排放标准》（GB12348-2008）2类标准，临</w:t>
            </w:r>
            <w:r>
              <w:rPr>
                <w:rFonts w:hint="eastAsia"/>
                <w:color w:val="000000" w:themeColor="text1"/>
                <w:lang w:val="en-US" w:eastAsia="zh-CN"/>
                <w14:textFill>
                  <w14:solidFill>
                    <w14:schemeClr w14:val="tx1"/>
                  </w14:solidFill>
                </w14:textFill>
              </w:rPr>
              <w:t>S451省道</w:t>
            </w:r>
            <w:r>
              <w:rPr>
                <w:rFonts w:hint="eastAsia"/>
                <w:color w:val="000000" w:themeColor="text1"/>
                <w14:textFill>
                  <w14:solidFill>
                    <w14:schemeClr w14:val="tx1"/>
                  </w14:solidFill>
                </w14:textFill>
              </w:rPr>
              <w:t>边界红线35±5m范围内执行4类标准</w:t>
            </w:r>
            <w:r>
              <w:rPr>
                <w:color w:val="000000" w:themeColor="text1"/>
                <w14:textFill>
                  <w14:solidFill>
                    <w14:schemeClr w14:val="tx1"/>
                  </w14:solidFill>
                </w14:textFill>
              </w:rPr>
              <w:t>，详见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_Ref30640 \n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表3-5</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35B30276">
            <w:pPr>
              <w:pStyle w:val="52"/>
              <w:rPr>
                <w:lang w:val="zh-CN"/>
              </w:rPr>
            </w:pPr>
            <w:bookmarkStart w:id="29" w:name="_Ref30640"/>
            <w:r>
              <w:rPr>
                <w:lang w:val="zh-CN"/>
              </w:rPr>
              <w:t>工业企业厂界环境噪声排放标准</w:t>
            </w:r>
            <w:bookmarkEnd w:id="29"/>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80"/>
              <w:gridCol w:w="1561"/>
              <w:gridCol w:w="1497"/>
              <w:gridCol w:w="4407"/>
            </w:tblGrid>
            <w:tr w14:paraId="5EE005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82" w:type="pct"/>
                  <w:vMerge w:val="restart"/>
                  <w:vAlign w:val="center"/>
                </w:tcPr>
                <w:p w14:paraId="3D0DF78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期间</w:t>
                  </w:r>
                </w:p>
              </w:tc>
              <w:tc>
                <w:tcPr>
                  <w:tcW w:w="1768" w:type="pct"/>
                  <w:gridSpan w:val="2"/>
                  <w:vAlign w:val="center"/>
                </w:tcPr>
                <w:p w14:paraId="7DBE91B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噪声限值</w:t>
                  </w:r>
                </w:p>
              </w:tc>
              <w:tc>
                <w:tcPr>
                  <w:tcW w:w="2548" w:type="pct"/>
                  <w:vMerge w:val="restart"/>
                  <w:vAlign w:val="center"/>
                </w:tcPr>
                <w:p w14:paraId="3E7592A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依据</w:t>
                  </w:r>
                </w:p>
              </w:tc>
            </w:tr>
            <w:tr w14:paraId="506B1C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82" w:type="pct"/>
                  <w:vMerge w:val="continue"/>
                  <w:vAlign w:val="center"/>
                </w:tcPr>
                <w:p w14:paraId="04F03776">
                  <w:pPr>
                    <w:jc w:val="center"/>
                    <w:rPr>
                      <w:color w:val="000000" w:themeColor="text1"/>
                      <w:szCs w:val="21"/>
                      <w14:textFill>
                        <w14:solidFill>
                          <w14:schemeClr w14:val="tx1"/>
                        </w14:solidFill>
                      </w14:textFill>
                    </w:rPr>
                  </w:pPr>
                </w:p>
              </w:tc>
              <w:tc>
                <w:tcPr>
                  <w:tcW w:w="902" w:type="pct"/>
                  <w:vAlign w:val="center"/>
                </w:tcPr>
                <w:p w14:paraId="734E41C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昼间（dB（A））</w:t>
                  </w:r>
                </w:p>
              </w:tc>
              <w:tc>
                <w:tcPr>
                  <w:tcW w:w="866" w:type="pct"/>
                  <w:vAlign w:val="center"/>
                </w:tcPr>
                <w:p w14:paraId="6974EB0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夜间（dB（A））</w:t>
                  </w:r>
                </w:p>
              </w:tc>
              <w:tc>
                <w:tcPr>
                  <w:tcW w:w="2548" w:type="pct"/>
                  <w:vMerge w:val="continue"/>
                  <w:vAlign w:val="center"/>
                </w:tcPr>
                <w:p w14:paraId="3593CCBF">
                  <w:pPr>
                    <w:jc w:val="center"/>
                    <w:rPr>
                      <w:color w:val="000000" w:themeColor="text1"/>
                      <w:szCs w:val="21"/>
                      <w14:textFill>
                        <w14:solidFill>
                          <w14:schemeClr w14:val="tx1"/>
                        </w14:solidFill>
                      </w14:textFill>
                    </w:rPr>
                  </w:pPr>
                </w:p>
              </w:tc>
            </w:tr>
            <w:tr w14:paraId="2C6F6B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82" w:type="pct"/>
                  <w:vAlign w:val="center"/>
                </w:tcPr>
                <w:p w14:paraId="7D2C8EEB">
                  <w:pPr>
                    <w:pStyle w:val="38"/>
                  </w:pPr>
                  <w:r>
                    <w:rPr>
                      <w:rFonts w:hint="eastAsia"/>
                    </w:rPr>
                    <w:t>施工期</w:t>
                  </w:r>
                </w:p>
              </w:tc>
              <w:tc>
                <w:tcPr>
                  <w:tcW w:w="902" w:type="pct"/>
                  <w:vAlign w:val="center"/>
                </w:tcPr>
                <w:p w14:paraId="376A4A38">
                  <w:pPr>
                    <w:pStyle w:val="38"/>
                  </w:pPr>
                  <w:r>
                    <w:rPr>
                      <w:rFonts w:hint="eastAsia"/>
                    </w:rPr>
                    <w:t>70</w:t>
                  </w:r>
                </w:p>
              </w:tc>
              <w:tc>
                <w:tcPr>
                  <w:tcW w:w="866" w:type="pct"/>
                  <w:vAlign w:val="center"/>
                </w:tcPr>
                <w:p w14:paraId="26AA4BCE">
                  <w:pPr>
                    <w:pStyle w:val="38"/>
                  </w:pPr>
                  <w:r>
                    <w:rPr>
                      <w:rFonts w:hint="eastAsia"/>
                    </w:rPr>
                    <w:t>55</w:t>
                  </w:r>
                </w:p>
              </w:tc>
              <w:tc>
                <w:tcPr>
                  <w:tcW w:w="2548" w:type="pct"/>
                  <w:vAlign w:val="center"/>
                </w:tcPr>
                <w:p w14:paraId="49E6462E">
                  <w:pPr>
                    <w:pStyle w:val="38"/>
                  </w:pPr>
                  <w:r>
                    <w:t>《建筑施工场界环境噪声排放标准》（GB12523-2011）</w:t>
                  </w:r>
                </w:p>
              </w:tc>
            </w:tr>
            <w:tr w14:paraId="0B04B8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82" w:type="pct"/>
                  <w:vMerge w:val="restart"/>
                  <w:vAlign w:val="center"/>
                </w:tcPr>
                <w:p w14:paraId="64F64A25">
                  <w:pPr>
                    <w:pStyle w:val="38"/>
                  </w:pPr>
                  <w:r>
                    <w:t>运营期</w:t>
                  </w:r>
                </w:p>
              </w:tc>
              <w:tc>
                <w:tcPr>
                  <w:tcW w:w="902" w:type="pct"/>
                  <w:vAlign w:val="center"/>
                </w:tcPr>
                <w:p w14:paraId="618FB899">
                  <w:pPr>
                    <w:pStyle w:val="38"/>
                  </w:pPr>
                  <w:r>
                    <w:rPr>
                      <w:rFonts w:hint="eastAsia"/>
                    </w:rPr>
                    <w:t>60</w:t>
                  </w:r>
                </w:p>
              </w:tc>
              <w:tc>
                <w:tcPr>
                  <w:tcW w:w="866" w:type="pct"/>
                  <w:vAlign w:val="center"/>
                </w:tcPr>
                <w:p w14:paraId="6B37909D">
                  <w:pPr>
                    <w:pStyle w:val="38"/>
                  </w:pPr>
                  <w:r>
                    <w:rPr>
                      <w:rFonts w:hint="eastAsia"/>
                    </w:rPr>
                    <w:t>50</w:t>
                  </w:r>
                </w:p>
              </w:tc>
              <w:tc>
                <w:tcPr>
                  <w:tcW w:w="2548" w:type="pct"/>
                  <w:vMerge w:val="restart"/>
                  <w:vAlign w:val="center"/>
                </w:tcPr>
                <w:p w14:paraId="0A54B62A">
                  <w:pPr>
                    <w:pStyle w:val="38"/>
                  </w:pPr>
                  <w:r>
                    <w:t>《工业企业厂界环境噪声排放标准》（GB12348-2008）</w:t>
                  </w:r>
                  <w:r>
                    <w:rPr>
                      <w:rFonts w:hint="eastAsia"/>
                    </w:rPr>
                    <w:t>中2、4类标准</w:t>
                  </w:r>
                </w:p>
              </w:tc>
            </w:tr>
            <w:tr w14:paraId="452B9F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82" w:type="pct"/>
                  <w:vMerge w:val="continue"/>
                  <w:vAlign w:val="center"/>
                </w:tcPr>
                <w:p w14:paraId="29016369">
                  <w:pPr>
                    <w:pStyle w:val="38"/>
                  </w:pPr>
                </w:p>
              </w:tc>
              <w:tc>
                <w:tcPr>
                  <w:tcW w:w="902" w:type="pct"/>
                  <w:vAlign w:val="center"/>
                </w:tcPr>
                <w:p w14:paraId="43E71B9A">
                  <w:pPr>
                    <w:pStyle w:val="38"/>
                  </w:pPr>
                  <w:r>
                    <w:rPr>
                      <w:rFonts w:hint="eastAsia"/>
                    </w:rPr>
                    <w:t>70</w:t>
                  </w:r>
                </w:p>
              </w:tc>
              <w:tc>
                <w:tcPr>
                  <w:tcW w:w="866" w:type="pct"/>
                  <w:vAlign w:val="center"/>
                </w:tcPr>
                <w:p w14:paraId="0DADE445">
                  <w:pPr>
                    <w:pStyle w:val="38"/>
                  </w:pPr>
                  <w:r>
                    <w:rPr>
                      <w:rFonts w:hint="eastAsia"/>
                    </w:rPr>
                    <w:t>55</w:t>
                  </w:r>
                </w:p>
              </w:tc>
              <w:tc>
                <w:tcPr>
                  <w:tcW w:w="2548" w:type="pct"/>
                  <w:vMerge w:val="continue"/>
                  <w:vAlign w:val="center"/>
                </w:tcPr>
                <w:p w14:paraId="35796DAD">
                  <w:pPr>
                    <w:pStyle w:val="38"/>
                  </w:pPr>
                </w:p>
              </w:tc>
            </w:tr>
          </w:tbl>
          <w:p w14:paraId="51681C89">
            <w:pPr>
              <w:pStyle w:val="42"/>
              <w:spacing w:before="120" w:beforeLines="5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4、固废排放标准</w:t>
            </w:r>
          </w:p>
          <w:p w14:paraId="640B7718">
            <w:pPr>
              <w:pStyle w:val="36"/>
              <w:bidi w:val="0"/>
              <w:rPr>
                <w:color w:val="000000" w:themeColor="text1"/>
                <w:kern w:val="0"/>
                <w:lang w:val="zh-CN"/>
                <w14:textFill>
                  <w14:solidFill>
                    <w14:schemeClr w14:val="tx1"/>
                  </w14:solidFill>
                </w14:textFill>
              </w:rPr>
            </w:pPr>
            <w:r>
              <w:rPr>
                <w:rFonts w:hint="eastAsia"/>
              </w:rPr>
              <w:t>一般工业固体废物贮存应满足《一般工业固体废物贮存和填埋污染控制标准》(GB 18599-2020)中的相关标准要求；危险废物贮存执行《危险废物贮存污染控制标准》(GB18597-2023)中相关标准要求。</w:t>
            </w:r>
          </w:p>
        </w:tc>
      </w:tr>
      <w:tr w14:paraId="4479F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07" w:type="dxa"/>
            <w:vAlign w:val="center"/>
          </w:tcPr>
          <w:p w14:paraId="683529B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总量</w:t>
            </w:r>
          </w:p>
          <w:p w14:paraId="519C41B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控制</w:t>
            </w:r>
          </w:p>
          <w:p w14:paraId="42B85D7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指标</w:t>
            </w:r>
          </w:p>
        </w:tc>
        <w:tc>
          <w:tcPr>
            <w:tcW w:w="8864" w:type="dxa"/>
            <w:vAlign w:val="center"/>
          </w:tcPr>
          <w:p w14:paraId="45986E32">
            <w:pPr>
              <w:pStyle w:val="36"/>
              <w:spacing w:before="120" w:beforeLines="50"/>
              <w:ind w:firstLine="480"/>
              <w:rPr>
                <w:rFonts w:hint="default"/>
              </w:rPr>
            </w:pPr>
            <w:r>
              <w:t>根据国家规定的总量控制污染物种类，即化学需氧量、氨氮、氮氧化物和VOCs。</w:t>
            </w:r>
          </w:p>
          <w:p w14:paraId="517EBB9C">
            <w:pPr>
              <w:pStyle w:val="36"/>
              <w:ind w:firstLine="480"/>
              <w:rPr>
                <w:rFonts w:hint="default"/>
              </w:rPr>
            </w:pPr>
            <w:r>
              <w:t>根据项目工程分析，本项目外排废水主要为生活污水处理尾水。主要污染物为</w:t>
            </w:r>
            <w:r>
              <w:rPr>
                <w:rFonts w:hint="default"/>
              </w:rPr>
              <w:t>COD</w:t>
            </w:r>
            <w:r>
              <w:rPr>
                <w:rFonts w:hint="default"/>
                <w:vertAlign w:val="subscript"/>
              </w:rPr>
              <w:t>Cr</w:t>
            </w:r>
            <w:r>
              <w:t>、</w:t>
            </w:r>
            <w:r>
              <w:rPr>
                <w:rFonts w:hint="default"/>
              </w:rPr>
              <w:t>BOD</w:t>
            </w:r>
            <w:r>
              <w:rPr>
                <w:rFonts w:hint="default"/>
                <w:vertAlign w:val="subscript"/>
              </w:rPr>
              <w:t>5</w:t>
            </w:r>
            <w:r>
              <w:t>、SS、氨氮、TN、TP等，</w:t>
            </w:r>
            <w:r>
              <w:rPr>
                <w:rFonts w:hint="eastAsia"/>
                <w:lang w:val="en-US" w:eastAsia="zh-CN"/>
              </w:rPr>
              <w:t>项目</w:t>
            </w:r>
            <w:r>
              <w:t>处理后尾水满足《城镇污水处理厂污染物排放标准》（GB18918-2002）一级A标准要求（</w:t>
            </w:r>
            <w:r>
              <w:rPr>
                <w:rFonts w:hint="default"/>
              </w:rPr>
              <w:t>COD</w:t>
            </w:r>
            <w:r>
              <w:rPr>
                <w:rFonts w:hint="default"/>
                <w:vertAlign w:val="subscript"/>
              </w:rPr>
              <w:t>Cr</w:t>
            </w:r>
            <w:r>
              <w:t>排放浓度50mg/L、氨氮排放浓度5mg/L）排放</w:t>
            </w:r>
            <w:r>
              <w:rPr>
                <w:rFonts w:hint="eastAsia"/>
                <w:lang w:eastAsia="zh-CN"/>
              </w:rPr>
              <w:t>，</w:t>
            </w:r>
            <w:r>
              <w:t>结合生活污水处理规模，拟申请废水污染物总量控制指标如下：</w:t>
            </w:r>
          </w:p>
          <w:p w14:paraId="19A2FBF5">
            <w:pPr>
              <w:pStyle w:val="52"/>
            </w:pPr>
            <w:r>
              <w:rPr>
                <w:rFonts w:hint="eastAsia"/>
              </w:rPr>
              <w:t>本项目废水污染物排放总量控制指标申请一览表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559"/>
              <w:gridCol w:w="1470"/>
              <w:gridCol w:w="577"/>
              <w:gridCol w:w="896"/>
              <w:gridCol w:w="1516"/>
              <w:gridCol w:w="1311"/>
              <w:gridCol w:w="1316"/>
            </w:tblGrid>
            <w:tr w14:paraId="6D92E81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901" w:type="pct"/>
                  <w:tcBorders>
                    <w:tl2br w:val="nil"/>
                    <w:tr2bl w:val="nil"/>
                  </w:tcBorders>
                  <w:vAlign w:val="center"/>
                </w:tcPr>
                <w:p w14:paraId="58C67742">
                  <w:pPr>
                    <w:pStyle w:val="38"/>
                    <w:ind w:left="0" w:leftChars="0" w:right="0" w:rightChars="0" w:firstLine="0" w:firstLineChars="0"/>
                    <w:jc w:val="center"/>
                    <w:rPr>
                      <w:b/>
                      <w:bCs/>
                    </w:rPr>
                  </w:pPr>
                  <w:r>
                    <w:rPr>
                      <w:rFonts w:hint="eastAsia"/>
                      <w:b/>
                      <w:bCs/>
                    </w:rPr>
                    <w:t>工程名称</w:t>
                  </w:r>
                </w:p>
              </w:tc>
              <w:tc>
                <w:tcPr>
                  <w:tcW w:w="850" w:type="pct"/>
                  <w:tcBorders>
                    <w:tl2br w:val="nil"/>
                    <w:tr2bl w:val="nil"/>
                  </w:tcBorders>
                  <w:vAlign w:val="center"/>
                </w:tcPr>
                <w:p w14:paraId="567D760A">
                  <w:pPr>
                    <w:pStyle w:val="38"/>
                    <w:ind w:left="0" w:leftChars="0" w:right="0" w:rightChars="0" w:firstLine="0" w:firstLineChars="0"/>
                    <w:jc w:val="center"/>
                    <w:rPr>
                      <w:b/>
                      <w:bCs/>
                    </w:rPr>
                  </w:pPr>
                  <w:r>
                    <w:rPr>
                      <w:rFonts w:hint="eastAsia"/>
                      <w:b/>
                      <w:bCs/>
                    </w:rPr>
                    <w:t>污水排放量（万</w:t>
                  </w:r>
                  <w:r>
                    <w:t>m</w:t>
                  </w:r>
                  <w:r>
                    <w:rPr>
                      <w:vertAlign w:val="superscript"/>
                    </w:rPr>
                    <w:t>3</w:t>
                  </w:r>
                  <w:r>
                    <w:rPr>
                      <w:rFonts w:hint="eastAsia"/>
                      <w:b/>
                      <w:bCs/>
                    </w:rPr>
                    <w:t>/a）</w:t>
                  </w:r>
                </w:p>
              </w:tc>
              <w:tc>
                <w:tcPr>
                  <w:tcW w:w="851" w:type="pct"/>
                  <w:gridSpan w:val="2"/>
                  <w:tcBorders>
                    <w:tl2br w:val="nil"/>
                    <w:tr2bl w:val="nil"/>
                  </w:tcBorders>
                  <w:vAlign w:val="center"/>
                </w:tcPr>
                <w:p w14:paraId="712CC70B">
                  <w:pPr>
                    <w:pStyle w:val="38"/>
                    <w:ind w:left="0" w:leftChars="0" w:right="0" w:rightChars="0" w:firstLine="0" w:firstLineChars="0"/>
                    <w:jc w:val="center"/>
                    <w:rPr>
                      <w:b/>
                      <w:bCs/>
                    </w:rPr>
                  </w:pPr>
                  <w:r>
                    <w:rPr>
                      <w:b/>
                      <w:bCs/>
                    </w:rPr>
                    <w:t>污染物名称</w:t>
                  </w:r>
                </w:p>
              </w:tc>
              <w:tc>
                <w:tcPr>
                  <w:tcW w:w="876" w:type="pct"/>
                  <w:tcBorders>
                    <w:tl2br w:val="nil"/>
                    <w:tr2bl w:val="nil"/>
                  </w:tcBorders>
                  <w:vAlign w:val="center"/>
                </w:tcPr>
                <w:p w14:paraId="2847B6B9">
                  <w:pPr>
                    <w:pStyle w:val="38"/>
                    <w:ind w:left="0" w:leftChars="0" w:right="0" w:rightChars="0" w:firstLine="0" w:firstLineChars="0"/>
                    <w:jc w:val="center"/>
                    <w:rPr>
                      <w:b/>
                      <w:bCs/>
                    </w:rPr>
                  </w:pPr>
                  <w:r>
                    <w:rPr>
                      <w:rFonts w:hint="eastAsia"/>
                      <w:b/>
                      <w:bCs/>
                    </w:rPr>
                    <w:t>排放浓度（mg/L）</w:t>
                  </w:r>
                </w:p>
              </w:tc>
              <w:tc>
                <w:tcPr>
                  <w:tcW w:w="758" w:type="pct"/>
                  <w:tcBorders>
                    <w:tl2br w:val="nil"/>
                    <w:tr2bl w:val="nil"/>
                  </w:tcBorders>
                  <w:vAlign w:val="center"/>
                </w:tcPr>
                <w:p w14:paraId="4BC4DA48">
                  <w:pPr>
                    <w:pStyle w:val="38"/>
                    <w:ind w:left="0" w:leftChars="0" w:right="0" w:rightChars="0" w:firstLine="0" w:firstLineChars="0"/>
                    <w:jc w:val="center"/>
                    <w:rPr>
                      <w:b/>
                      <w:bCs/>
                    </w:rPr>
                  </w:pPr>
                  <w:r>
                    <w:rPr>
                      <w:b/>
                      <w:bCs/>
                    </w:rPr>
                    <w:t>总排放量</w:t>
                  </w:r>
                  <w:r>
                    <w:rPr>
                      <w:rFonts w:hint="eastAsia"/>
                      <w:b/>
                      <w:bCs/>
                    </w:rPr>
                    <w:t>（t/a）</w:t>
                  </w:r>
                </w:p>
              </w:tc>
              <w:tc>
                <w:tcPr>
                  <w:tcW w:w="761" w:type="pct"/>
                  <w:tcBorders>
                    <w:tl2br w:val="nil"/>
                    <w:tr2bl w:val="nil"/>
                  </w:tcBorders>
                  <w:vAlign w:val="center"/>
                </w:tcPr>
                <w:p w14:paraId="039896AF">
                  <w:pPr>
                    <w:pStyle w:val="38"/>
                    <w:ind w:left="0" w:leftChars="0" w:right="0" w:rightChars="0" w:firstLine="0" w:firstLineChars="0"/>
                    <w:jc w:val="center"/>
                    <w:rPr>
                      <w:b/>
                      <w:bCs/>
                    </w:rPr>
                  </w:pPr>
                  <w:r>
                    <w:rPr>
                      <w:b/>
                      <w:bCs/>
                    </w:rPr>
                    <w:t>建议申请量</w:t>
                  </w:r>
                  <w:r>
                    <w:rPr>
                      <w:rFonts w:hint="eastAsia"/>
                      <w:b/>
                      <w:bCs/>
                    </w:rPr>
                    <w:t>（t/a）</w:t>
                  </w:r>
                </w:p>
              </w:tc>
            </w:tr>
            <w:tr w14:paraId="2FE8FD3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901" w:type="pct"/>
                  <w:vMerge w:val="restart"/>
                  <w:tcBorders>
                    <w:tl2br w:val="nil"/>
                    <w:tr2bl w:val="nil"/>
                  </w:tcBorders>
                  <w:vAlign w:val="center"/>
                </w:tcPr>
                <w:p w14:paraId="33EF68C3">
                  <w:pPr>
                    <w:pStyle w:val="38"/>
                    <w:ind w:left="0" w:leftChars="0" w:right="0" w:rightChars="0" w:firstLine="0" w:firstLineChars="0"/>
                    <w:jc w:val="center"/>
                    <w:rPr>
                      <w:rFonts w:hint="eastAsia" w:eastAsia="宋体"/>
                      <w:lang w:eastAsia="zh-CN"/>
                    </w:rPr>
                  </w:pPr>
                  <w:r>
                    <w:rPr>
                      <w:rFonts w:hint="eastAsia"/>
                      <w:lang w:eastAsia="zh-CN"/>
                    </w:rPr>
                    <w:t>宁都县青塘镇污水处理厂工程</w:t>
                  </w:r>
                </w:p>
              </w:tc>
              <w:tc>
                <w:tcPr>
                  <w:tcW w:w="850" w:type="pct"/>
                  <w:vMerge w:val="restart"/>
                  <w:tcBorders>
                    <w:tl2br w:val="nil"/>
                    <w:tr2bl w:val="nil"/>
                  </w:tcBorders>
                  <w:vAlign w:val="center"/>
                </w:tcPr>
                <w:p w14:paraId="41840422">
                  <w:pPr>
                    <w:pStyle w:val="38"/>
                    <w:ind w:left="0" w:leftChars="0" w:right="0" w:rightChars="0" w:firstLine="0" w:firstLineChars="0"/>
                    <w:jc w:val="center"/>
                    <w:rPr>
                      <w:rFonts w:hint="default" w:eastAsia="宋体"/>
                      <w:lang w:val="en-US" w:eastAsia="zh-CN"/>
                    </w:rPr>
                  </w:pPr>
                  <w:r>
                    <w:rPr>
                      <w:rFonts w:hint="eastAsia"/>
                      <w:lang w:val="en-US" w:eastAsia="zh-CN"/>
                    </w:rPr>
                    <w:t>18.25</w:t>
                  </w:r>
                </w:p>
              </w:tc>
              <w:tc>
                <w:tcPr>
                  <w:tcW w:w="333" w:type="pct"/>
                  <w:vMerge w:val="restart"/>
                  <w:tcBorders>
                    <w:tl2br w:val="nil"/>
                    <w:tr2bl w:val="nil"/>
                  </w:tcBorders>
                  <w:vAlign w:val="center"/>
                </w:tcPr>
                <w:p w14:paraId="4DB71A16">
                  <w:pPr>
                    <w:pStyle w:val="38"/>
                    <w:ind w:left="0" w:leftChars="0" w:right="0" w:rightChars="0" w:firstLine="0" w:firstLineChars="0"/>
                    <w:jc w:val="center"/>
                  </w:pPr>
                  <w:r>
                    <w:t>废水</w:t>
                  </w:r>
                </w:p>
              </w:tc>
              <w:tc>
                <w:tcPr>
                  <w:tcW w:w="518" w:type="pct"/>
                  <w:tcBorders>
                    <w:tl2br w:val="nil"/>
                    <w:tr2bl w:val="nil"/>
                  </w:tcBorders>
                  <w:vAlign w:val="center"/>
                </w:tcPr>
                <w:p w14:paraId="3F997609">
                  <w:pPr>
                    <w:pStyle w:val="38"/>
                    <w:ind w:left="0" w:leftChars="0" w:right="0" w:rightChars="0" w:firstLine="0" w:firstLineChars="0"/>
                    <w:jc w:val="center"/>
                  </w:pPr>
                  <w:r>
                    <w:t>COD</w:t>
                  </w:r>
                </w:p>
              </w:tc>
              <w:tc>
                <w:tcPr>
                  <w:tcW w:w="876" w:type="pct"/>
                  <w:tcBorders>
                    <w:tl2br w:val="nil"/>
                    <w:tr2bl w:val="nil"/>
                  </w:tcBorders>
                  <w:vAlign w:val="center"/>
                </w:tcPr>
                <w:p w14:paraId="6B60B797">
                  <w:pPr>
                    <w:pStyle w:val="38"/>
                    <w:ind w:left="0" w:leftChars="0" w:right="0" w:rightChars="0" w:firstLine="0" w:firstLineChars="0"/>
                    <w:jc w:val="center"/>
                  </w:pPr>
                  <w:r>
                    <w:rPr>
                      <w:rFonts w:hint="eastAsia"/>
                    </w:rPr>
                    <w:t>50</w:t>
                  </w:r>
                </w:p>
              </w:tc>
              <w:tc>
                <w:tcPr>
                  <w:tcW w:w="1311" w:type="dxa"/>
                  <w:tcBorders>
                    <w:tl2br w:val="nil"/>
                    <w:tr2bl w:val="nil"/>
                  </w:tcBorders>
                  <w:vAlign w:val="center"/>
                </w:tcPr>
                <w:p w14:paraId="3C5A75F5">
                  <w:pPr>
                    <w:pStyle w:val="38"/>
                    <w:bidi w:val="0"/>
                    <w:ind w:left="0" w:leftChars="0" w:right="0" w:rightChars="0" w:firstLine="0" w:firstLineChars="0"/>
                    <w:jc w:val="center"/>
                  </w:pPr>
                  <w:r>
                    <w:rPr>
                      <w:rFonts w:hint="default"/>
                      <w:lang w:val="en-US" w:eastAsia="zh-CN"/>
                    </w:rPr>
                    <w:t>9.125</w:t>
                  </w:r>
                </w:p>
              </w:tc>
              <w:tc>
                <w:tcPr>
                  <w:tcW w:w="1316" w:type="dxa"/>
                  <w:tcBorders>
                    <w:tl2br w:val="nil"/>
                    <w:tr2bl w:val="nil"/>
                  </w:tcBorders>
                  <w:vAlign w:val="center"/>
                </w:tcPr>
                <w:p w14:paraId="65EDEBBA">
                  <w:pPr>
                    <w:pStyle w:val="38"/>
                    <w:bidi w:val="0"/>
                    <w:ind w:left="0" w:leftChars="0" w:right="0" w:rightChars="0" w:firstLine="0" w:firstLineChars="0"/>
                    <w:jc w:val="center"/>
                  </w:pPr>
                  <w:r>
                    <w:rPr>
                      <w:rFonts w:hint="default"/>
                      <w:lang w:val="en-US" w:eastAsia="zh-CN"/>
                    </w:rPr>
                    <w:t>9.125</w:t>
                  </w:r>
                </w:p>
              </w:tc>
            </w:tr>
            <w:tr w14:paraId="1DF5298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901" w:type="pct"/>
                  <w:vMerge w:val="continue"/>
                  <w:tcBorders>
                    <w:tl2br w:val="nil"/>
                    <w:tr2bl w:val="nil"/>
                  </w:tcBorders>
                  <w:vAlign w:val="center"/>
                </w:tcPr>
                <w:p w14:paraId="32B98658">
                  <w:pPr>
                    <w:pStyle w:val="38"/>
                    <w:ind w:left="0" w:leftChars="0" w:right="0" w:rightChars="0" w:firstLine="0" w:firstLineChars="0"/>
                    <w:jc w:val="center"/>
                  </w:pPr>
                </w:p>
              </w:tc>
              <w:tc>
                <w:tcPr>
                  <w:tcW w:w="850" w:type="pct"/>
                  <w:vMerge w:val="continue"/>
                  <w:tcBorders>
                    <w:tl2br w:val="nil"/>
                    <w:tr2bl w:val="nil"/>
                  </w:tcBorders>
                  <w:vAlign w:val="center"/>
                </w:tcPr>
                <w:p w14:paraId="5A889D48">
                  <w:pPr>
                    <w:pStyle w:val="38"/>
                    <w:ind w:left="0" w:leftChars="0" w:right="0" w:rightChars="0" w:firstLine="0" w:firstLineChars="0"/>
                    <w:jc w:val="center"/>
                  </w:pPr>
                </w:p>
              </w:tc>
              <w:tc>
                <w:tcPr>
                  <w:tcW w:w="333" w:type="pct"/>
                  <w:vMerge w:val="continue"/>
                  <w:tcBorders>
                    <w:tl2br w:val="nil"/>
                    <w:tr2bl w:val="nil"/>
                  </w:tcBorders>
                  <w:vAlign w:val="center"/>
                </w:tcPr>
                <w:p w14:paraId="2E9BF70D">
                  <w:pPr>
                    <w:pStyle w:val="38"/>
                    <w:ind w:left="0" w:leftChars="0" w:right="0" w:rightChars="0" w:firstLine="0" w:firstLineChars="0"/>
                    <w:jc w:val="center"/>
                  </w:pPr>
                </w:p>
              </w:tc>
              <w:tc>
                <w:tcPr>
                  <w:tcW w:w="518" w:type="pct"/>
                  <w:tcBorders>
                    <w:tl2br w:val="nil"/>
                    <w:tr2bl w:val="nil"/>
                  </w:tcBorders>
                  <w:vAlign w:val="center"/>
                </w:tcPr>
                <w:p w14:paraId="688181FB">
                  <w:pPr>
                    <w:pStyle w:val="38"/>
                    <w:ind w:left="0" w:leftChars="0" w:right="0" w:rightChars="0" w:firstLine="0" w:firstLineChars="0"/>
                    <w:jc w:val="center"/>
                  </w:pPr>
                  <w:r>
                    <w:t>氨氮</w:t>
                  </w:r>
                </w:p>
              </w:tc>
              <w:tc>
                <w:tcPr>
                  <w:tcW w:w="876" w:type="pct"/>
                  <w:tcBorders>
                    <w:tl2br w:val="nil"/>
                    <w:tr2bl w:val="nil"/>
                  </w:tcBorders>
                  <w:vAlign w:val="center"/>
                </w:tcPr>
                <w:p w14:paraId="741FD54A">
                  <w:pPr>
                    <w:pStyle w:val="38"/>
                    <w:ind w:left="0" w:leftChars="0" w:right="0" w:rightChars="0" w:firstLine="0" w:firstLineChars="0"/>
                    <w:jc w:val="center"/>
                  </w:pPr>
                  <w:r>
                    <w:rPr>
                      <w:rFonts w:hint="eastAsia"/>
                    </w:rPr>
                    <w:t>5</w:t>
                  </w:r>
                </w:p>
              </w:tc>
              <w:tc>
                <w:tcPr>
                  <w:tcW w:w="1311" w:type="dxa"/>
                  <w:tcBorders>
                    <w:tl2br w:val="nil"/>
                    <w:tr2bl w:val="nil"/>
                  </w:tcBorders>
                  <w:vAlign w:val="center"/>
                </w:tcPr>
                <w:p w14:paraId="1B1F5793">
                  <w:pPr>
                    <w:pStyle w:val="38"/>
                    <w:bidi w:val="0"/>
                    <w:ind w:left="0" w:leftChars="0" w:right="0" w:rightChars="0" w:firstLine="0" w:firstLineChars="0"/>
                    <w:jc w:val="center"/>
                    <w:rPr>
                      <w:rFonts w:hint="default"/>
                      <w:lang w:val="en-US"/>
                    </w:rPr>
                  </w:pPr>
                  <w:r>
                    <w:rPr>
                      <w:rFonts w:hint="default"/>
                      <w:lang w:val="en-US" w:eastAsia="zh-CN"/>
                    </w:rPr>
                    <w:t>0.91</w:t>
                  </w:r>
                  <w:r>
                    <w:rPr>
                      <w:rFonts w:hint="eastAsia"/>
                      <w:lang w:val="en-US" w:eastAsia="zh-CN"/>
                    </w:rPr>
                    <w:t>3</w:t>
                  </w:r>
                </w:p>
              </w:tc>
              <w:tc>
                <w:tcPr>
                  <w:tcW w:w="1316" w:type="dxa"/>
                  <w:tcBorders>
                    <w:tl2br w:val="nil"/>
                    <w:tr2bl w:val="nil"/>
                  </w:tcBorders>
                  <w:vAlign w:val="center"/>
                </w:tcPr>
                <w:p w14:paraId="699208E0">
                  <w:pPr>
                    <w:pStyle w:val="38"/>
                    <w:bidi w:val="0"/>
                    <w:ind w:left="0" w:leftChars="0" w:right="0" w:rightChars="0" w:firstLine="0" w:firstLineChars="0"/>
                    <w:jc w:val="center"/>
                  </w:pPr>
                  <w:r>
                    <w:rPr>
                      <w:rFonts w:hint="default"/>
                      <w:lang w:val="en-US" w:eastAsia="zh-CN"/>
                    </w:rPr>
                    <w:t>0.91</w:t>
                  </w:r>
                  <w:r>
                    <w:rPr>
                      <w:rFonts w:hint="eastAsia"/>
                      <w:lang w:val="en-US" w:eastAsia="zh-CN"/>
                    </w:rPr>
                    <w:t>3</w:t>
                  </w:r>
                </w:p>
              </w:tc>
            </w:tr>
          </w:tbl>
          <w:p w14:paraId="32FE6FD1">
            <w:pPr>
              <w:pStyle w:val="36"/>
              <w:spacing w:before="120" w:beforeLines="50"/>
              <w:ind w:firstLine="480"/>
              <w:rPr>
                <w:rFonts w:hint="default"/>
              </w:rPr>
            </w:pPr>
            <w:r>
              <w:t>综上所述，本项目合计需要申请的水污染物总量控制指标为COD：</w:t>
            </w:r>
            <w:r>
              <w:rPr>
                <w:rFonts w:hint="eastAsia"/>
                <w:lang w:eastAsia="zh-CN"/>
              </w:rPr>
              <w:t>9.125</w:t>
            </w:r>
            <w:r>
              <w:t>t/a，NH</w:t>
            </w:r>
            <w:r>
              <w:rPr>
                <w:vertAlign w:val="subscript"/>
              </w:rPr>
              <w:t>3</w:t>
            </w:r>
            <w:r>
              <w:t>-N：</w:t>
            </w:r>
            <w:r>
              <w:rPr>
                <w:rFonts w:hint="eastAsia"/>
                <w:lang w:eastAsia="zh-CN"/>
              </w:rPr>
              <w:t>0.913</w:t>
            </w:r>
            <w:r>
              <w:t>t/a。</w:t>
            </w:r>
          </w:p>
          <w:p w14:paraId="7A63A5CC">
            <w:pPr>
              <w:pStyle w:val="36"/>
              <w:ind w:firstLine="480"/>
            </w:pPr>
          </w:p>
          <w:p w14:paraId="29C08E31">
            <w:pPr>
              <w:pStyle w:val="36"/>
              <w:ind w:firstLine="480"/>
            </w:pPr>
          </w:p>
          <w:p w14:paraId="3CA1E4DE">
            <w:pPr>
              <w:pStyle w:val="36"/>
              <w:ind w:firstLine="0" w:firstLineChars="0"/>
              <w:rPr>
                <w:rFonts w:hint="default"/>
              </w:rPr>
            </w:pPr>
          </w:p>
          <w:p w14:paraId="0D800D89">
            <w:pPr>
              <w:pStyle w:val="18"/>
              <w:jc w:val="both"/>
              <w:rPr>
                <w:color w:val="000000" w:themeColor="text1"/>
                <w:sz w:val="24"/>
                <w14:textFill>
                  <w14:solidFill>
                    <w14:schemeClr w14:val="tx1"/>
                  </w14:solidFill>
                </w14:textFill>
              </w:rPr>
            </w:pPr>
          </w:p>
          <w:p w14:paraId="7E47C454">
            <w:pPr>
              <w:pStyle w:val="18"/>
              <w:jc w:val="both"/>
              <w:rPr>
                <w:color w:val="000000" w:themeColor="text1"/>
                <w:sz w:val="24"/>
                <w14:textFill>
                  <w14:solidFill>
                    <w14:schemeClr w14:val="tx1"/>
                  </w14:solidFill>
                </w14:textFill>
              </w:rPr>
            </w:pPr>
          </w:p>
          <w:p w14:paraId="3DBB6C05">
            <w:pPr>
              <w:pStyle w:val="18"/>
              <w:jc w:val="both"/>
              <w:rPr>
                <w:color w:val="000000" w:themeColor="text1"/>
                <w:sz w:val="24"/>
                <w14:textFill>
                  <w14:solidFill>
                    <w14:schemeClr w14:val="tx1"/>
                  </w14:solidFill>
                </w14:textFill>
              </w:rPr>
            </w:pPr>
          </w:p>
          <w:p w14:paraId="5AE63143">
            <w:pPr>
              <w:pStyle w:val="18"/>
              <w:jc w:val="both"/>
              <w:rPr>
                <w:color w:val="000000" w:themeColor="text1"/>
                <w:sz w:val="24"/>
                <w14:textFill>
                  <w14:solidFill>
                    <w14:schemeClr w14:val="tx1"/>
                  </w14:solidFill>
                </w14:textFill>
              </w:rPr>
            </w:pPr>
          </w:p>
          <w:p w14:paraId="4E580F44">
            <w:pPr>
              <w:pStyle w:val="18"/>
              <w:jc w:val="both"/>
              <w:rPr>
                <w:color w:val="000000" w:themeColor="text1"/>
                <w:sz w:val="24"/>
                <w14:textFill>
                  <w14:solidFill>
                    <w14:schemeClr w14:val="tx1"/>
                  </w14:solidFill>
                </w14:textFill>
              </w:rPr>
            </w:pPr>
          </w:p>
          <w:p w14:paraId="7580AA2F">
            <w:pPr>
              <w:pStyle w:val="18"/>
              <w:jc w:val="both"/>
              <w:rPr>
                <w:color w:val="000000" w:themeColor="text1"/>
                <w:sz w:val="24"/>
                <w14:textFill>
                  <w14:solidFill>
                    <w14:schemeClr w14:val="tx1"/>
                  </w14:solidFill>
                </w14:textFill>
              </w:rPr>
            </w:pPr>
          </w:p>
          <w:p w14:paraId="31204111">
            <w:pPr>
              <w:pStyle w:val="18"/>
              <w:jc w:val="both"/>
              <w:rPr>
                <w:color w:val="000000" w:themeColor="text1"/>
                <w:sz w:val="24"/>
                <w14:textFill>
                  <w14:solidFill>
                    <w14:schemeClr w14:val="tx1"/>
                  </w14:solidFill>
                </w14:textFill>
              </w:rPr>
            </w:pPr>
          </w:p>
          <w:p w14:paraId="357F4C8B">
            <w:pPr>
              <w:pStyle w:val="18"/>
              <w:jc w:val="both"/>
              <w:rPr>
                <w:color w:val="000000" w:themeColor="text1"/>
                <w:sz w:val="24"/>
                <w14:textFill>
                  <w14:solidFill>
                    <w14:schemeClr w14:val="tx1"/>
                  </w14:solidFill>
                </w14:textFill>
              </w:rPr>
            </w:pPr>
          </w:p>
          <w:p w14:paraId="06943B1F">
            <w:pPr>
              <w:pStyle w:val="18"/>
              <w:jc w:val="both"/>
              <w:rPr>
                <w:color w:val="000000" w:themeColor="text1"/>
                <w:sz w:val="24"/>
                <w14:textFill>
                  <w14:solidFill>
                    <w14:schemeClr w14:val="tx1"/>
                  </w14:solidFill>
                </w14:textFill>
              </w:rPr>
            </w:pPr>
          </w:p>
          <w:p w14:paraId="74949165">
            <w:pPr>
              <w:pStyle w:val="18"/>
              <w:jc w:val="both"/>
              <w:rPr>
                <w:color w:val="000000" w:themeColor="text1"/>
                <w:sz w:val="24"/>
                <w14:textFill>
                  <w14:solidFill>
                    <w14:schemeClr w14:val="tx1"/>
                  </w14:solidFill>
                </w14:textFill>
              </w:rPr>
            </w:pPr>
          </w:p>
          <w:p w14:paraId="3A0EFAEA">
            <w:pPr>
              <w:pStyle w:val="18"/>
              <w:jc w:val="both"/>
              <w:rPr>
                <w:color w:val="000000" w:themeColor="text1"/>
                <w:sz w:val="24"/>
                <w14:textFill>
                  <w14:solidFill>
                    <w14:schemeClr w14:val="tx1"/>
                  </w14:solidFill>
                </w14:textFill>
              </w:rPr>
            </w:pPr>
          </w:p>
          <w:p w14:paraId="1825D92C">
            <w:pPr>
              <w:pStyle w:val="18"/>
              <w:jc w:val="both"/>
              <w:rPr>
                <w:color w:val="000000" w:themeColor="text1"/>
                <w:sz w:val="24"/>
                <w14:textFill>
                  <w14:solidFill>
                    <w14:schemeClr w14:val="tx1"/>
                  </w14:solidFill>
                </w14:textFill>
              </w:rPr>
            </w:pPr>
          </w:p>
          <w:p w14:paraId="35AF7F2A">
            <w:pPr>
              <w:pStyle w:val="18"/>
              <w:jc w:val="both"/>
              <w:rPr>
                <w:color w:val="000000" w:themeColor="text1"/>
                <w:sz w:val="24"/>
                <w14:textFill>
                  <w14:solidFill>
                    <w14:schemeClr w14:val="tx1"/>
                  </w14:solidFill>
                </w14:textFill>
              </w:rPr>
            </w:pPr>
          </w:p>
          <w:p w14:paraId="00F551D8">
            <w:pPr>
              <w:pStyle w:val="18"/>
              <w:jc w:val="both"/>
              <w:rPr>
                <w:color w:val="000000" w:themeColor="text1"/>
                <w:sz w:val="24"/>
                <w14:textFill>
                  <w14:solidFill>
                    <w14:schemeClr w14:val="tx1"/>
                  </w14:solidFill>
                </w14:textFill>
              </w:rPr>
            </w:pPr>
          </w:p>
          <w:p w14:paraId="166A059C">
            <w:pPr>
              <w:pStyle w:val="18"/>
              <w:jc w:val="both"/>
              <w:rPr>
                <w:color w:val="000000" w:themeColor="text1"/>
                <w:sz w:val="24"/>
                <w14:textFill>
                  <w14:solidFill>
                    <w14:schemeClr w14:val="tx1"/>
                  </w14:solidFill>
                </w14:textFill>
              </w:rPr>
            </w:pPr>
          </w:p>
          <w:p w14:paraId="7EDB1B97">
            <w:pPr>
              <w:pStyle w:val="18"/>
              <w:jc w:val="both"/>
              <w:rPr>
                <w:color w:val="000000" w:themeColor="text1"/>
                <w:sz w:val="24"/>
                <w14:textFill>
                  <w14:solidFill>
                    <w14:schemeClr w14:val="tx1"/>
                  </w14:solidFill>
                </w14:textFill>
              </w:rPr>
            </w:pPr>
          </w:p>
          <w:p w14:paraId="4A472D10">
            <w:pPr>
              <w:pStyle w:val="18"/>
              <w:jc w:val="both"/>
              <w:rPr>
                <w:color w:val="000000" w:themeColor="text1"/>
                <w:sz w:val="24"/>
                <w14:textFill>
                  <w14:solidFill>
                    <w14:schemeClr w14:val="tx1"/>
                  </w14:solidFill>
                </w14:textFill>
              </w:rPr>
            </w:pPr>
          </w:p>
          <w:p w14:paraId="2E05CFC0">
            <w:pPr>
              <w:pStyle w:val="18"/>
              <w:jc w:val="both"/>
              <w:rPr>
                <w:color w:val="000000" w:themeColor="text1"/>
                <w:sz w:val="24"/>
                <w14:textFill>
                  <w14:solidFill>
                    <w14:schemeClr w14:val="tx1"/>
                  </w14:solidFill>
                </w14:textFill>
              </w:rPr>
            </w:pPr>
          </w:p>
          <w:p w14:paraId="33A5D947">
            <w:pPr>
              <w:pStyle w:val="18"/>
              <w:jc w:val="both"/>
              <w:rPr>
                <w:color w:val="000000" w:themeColor="text1"/>
                <w:sz w:val="24"/>
                <w14:textFill>
                  <w14:solidFill>
                    <w14:schemeClr w14:val="tx1"/>
                  </w14:solidFill>
                </w14:textFill>
              </w:rPr>
            </w:pPr>
          </w:p>
          <w:p w14:paraId="7BCE9174">
            <w:pPr>
              <w:pStyle w:val="18"/>
              <w:jc w:val="both"/>
              <w:rPr>
                <w:color w:val="000000" w:themeColor="text1"/>
                <w:sz w:val="24"/>
                <w14:textFill>
                  <w14:solidFill>
                    <w14:schemeClr w14:val="tx1"/>
                  </w14:solidFill>
                </w14:textFill>
              </w:rPr>
            </w:pPr>
          </w:p>
          <w:p w14:paraId="012148E9">
            <w:pPr>
              <w:pStyle w:val="18"/>
              <w:jc w:val="both"/>
              <w:rPr>
                <w:color w:val="000000" w:themeColor="text1"/>
                <w:sz w:val="24"/>
                <w14:textFill>
                  <w14:solidFill>
                    <w14:schemeClr w14:val="tx1"/>
                  </w14:solidFill>
                </w14:textFill>
              </w:rPr>
            </w:pPr>
          </w:p>
          <w:p w14:paraId="0FBA0CC7">
            <w:pPr>
              <w:pStyle w:val="18"/>
              <w:jc w:val="both"/>
              <w:rPr>
                <w:color w:val="000000" w:themeColor="text1"/>
                <w:sz w:val="24"/>
                <w14:textFill>
                  <w14:solidFill>
                    <w14:schemeClr w14:val="tx1"/>
                  </w14:solidFill>
                </w14:textFill>
              </w:rPr>
            </w:pPr>
          </w:p>
          <w:p w14:paraId="07F6B865">
            <w:pPr>
              <w:pStyle w:val="18"/>
              <w:jc w:val="both"/>
              <w:rPr>
                <w:color w:val="000000" w:themeColor="text1"/>
                <w:sz w:val="24"/>
                <w14:textFill>
                  <w14:solidFill>
                    <w14:schemeClr w14:val="tx1"/>
                  </w14:solidFill>
                </w14:textFill>
              </w:rPr>
            </w:pPr>
          </w:p>
          <w:p w14:paraId="02F3D32A">
            <w:pPr>
              <w:pStyle w:val="18"/>
              <w:jc w:val="both"/>
              <w:rPr>
                <w:color w:val="000000" w:themeColor="text1"/>
                <w:sz w:val="24"/>
                <w14:textFill>
                  <w14:solidFill>
                    <w14:schemeClr w14:val="tx1"/>
                  </w14:solidFill>
                </w14:textFill>
              </w:rPr>
            </w:pPr>
          </w:p>
          <w:p w14:paraId="4490D53E">
            <w:pPr>
              <w:pStyle w:val="18"/>
              <w:jc w:val="both"/>
              <w:rPr>
                <w:color w:val="000000" w:themeColor="text1"/>
                <w:sz w:val="24"/>
                <w14:textFill>
                  <w14:solidFill>
                    <w14:schemeClr w14:val="tx1"/>
                  </w14:solidFill>
                </w14:textFill>
              </w:rPr>
            </w:pPr>
          </w:p>
          <w:p w14:paraId="40F9E956">
            <w:pPr>
              <w:pStyle w:val="18"/>
              <w:jc w:val="both"/>
              <w:rPr>
                <w:color w:val="000000" w:themeColor="text1"/>
                <w:sz w:val="24"/>
                <w14:textFill>
                  <w14:solidFill>
                    <w14:schemeClr w14:val="tx1"/>
                  </w14:solidFill>
                </w14:textFill>
              </w:rPr>
            </w:pPr>
          </w:p>
        </w:tc>
      </w:tr>
    </w:tbl>
    <w:p w14:paraId="5DD8608B">
      <w:pPr>
        <w:pStyle w:val="50"/>
        <w:outlineLvl w:val="0"/>
        <w:rPr>
          <w:rFonts w:eastAsia="宋体"/>
          <w:snapToGrid w:val="0"/>
        </w:rPr>
      </w:pPr>
      <w:r>
        <w:rPr>
          <w:rFonts w:eastAsia="宋体"/>
          <w:snapToGrid w:val="0"/>
          <w:sz w:val="36"/>
          <w:szCs w:val="36"/>
        </w:rPr>
        <w:br w:type="page"/>
      </w:r>
      <w:bookmarkStart w:id="30" w:name="_Toc2494"/>
      <w:bookmarkStart w:id="31" w:name="_Toc85"/>
      <w:bookmarkStart w:id="32" w:name="_Toc17973"/>
      <w:bookmarkStart w:id="33" w:name="_Toc18477"/>
      <w:bookmarkStart w:id="34" w:name="_Toc31222"/>
      <w:bookmarkStart w:id="35" w:name="_Toc19821"/>
      <w:r>
        <w:t>主要环境影响和保护措施</w:t>
      </w:r>
      <w:bookmarkEnd w:id="30"/>
      <w:bookmarkEnd w:id="31"/>
      <w:bookmarkEnd w:id="32"/>
      <w:bookmarkEnd w:id="33"/>
      <w:bookmarkEnd w:id="34"/>
      <w:bookmarkEnd w:id="35"/>
    </w:p>
    <w:tbl>
      <w:tblPr>
        <w:tblStyle w:val="28"/>
        <w:tblW w:w="99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4"/>
        <w:gridCol w:w="8990"/>
      </w:tblGrid>
      <w:tr w14:paraId="753BA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Mar>
              <w:left w:w="28" w:type="dxa"/>
              <w:right w:w="28" w:type="dxa"/>
            </w:tcMar>
            <w:vAlign w:val="center"/>
          </w:tcPr>
          <w:p w14:paraId="1B2F5DF4">
            <w:pPr>
              <w:pStyle w:val="24"/>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14:paraId="382D2159">
            <w:pPr>
              <w:pStyle w:val="24"/>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14:paraId="4126E714">
            <w:pPr>
              <w:pStyle w:val="24"/>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14:paraId="6C28C926">
            <w:pPr>
              <w:pStyle w:val="24"/>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14:paraId="2B238D2B">
            <w:pPr>
              <w:pStyle w:val="24"/>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990" w:type="dxa"/>
            <w:vAlign w:val="center"/>
          </w:tcPr>
          <w:p w14:paraId="4B377072">
            <w:pPr>
              <w:spacing w:line="360" w:lineRule="auto"/>
              <w:ind w:firstLine="482" w:firstLineChars="200"/>
              <w:rPr>
                <w:b/>
                <w:bCs/>
                <w:sz w:val="24"/>
              </w:rPr>
            </w:pPr>
            <w:r>
              <w:rPr>
                <w:rFonts w:hint="eastAsia"/>
                <w:b/>
                <w:bCs/>
                <w:sz w:val="24"/>
              </w:rPr>
              <w:t>（一）</w:t>
            </w:r>
            <w:r>
              <w:rPr>
                <w:b/>
                <w:bCs/>
                <w:sz w:val="24"/>
              </w:rPr>
              <w:t>施工期环境保护控制措施：</w:t>
            </w:r>
          </w:p>
          <w:p w14:paraId="30E00141">
            <w:pPr>
              <w:spacing w:line="360" w:lineRule="auto"/>
              <w:ind w:firstLine="482" w:firstLineChars="200"/>
              <w:rPr>
                <w:b/>
                <w:bCs/>
                <w:sz w:val="24"/>
              </w:rPr>
            </w:pPr>
            <w:r>
              <w:rPr>
                <w:b/>
                <w:bCs/>
                <w:sz w:val="24"/>
              </w:rPr>
              <w:t>1、大气环境保护措施</w:t>
            </w:r>
          </w:p>
          <w:p w14:paraId="49DE931F">
            <w:pPr>
              <w:pStyle w:val="36"/>
              <w:ind w:firstLine="480"/>
              <w:rPr>
                <w:rFonts w:hint="default"/>
              </w:rPr>
            </w:pPr>
            <w:r>
              <w:t>项目施工期产生的空气污染主要包括施工扬尘、运输车辆及作业机械燃油废气。</w:t>
            </w:r>
          </w:p>
          <w:p w14:paraId="726B2D66">
            <w:pPr>
              <w:pStyle w:val="36"/>
              <w:ind w:firstLine="480"/>
              <w:rPr>
                <w:rFonts w:hint="default"/>
              </w:rPr>
            </w:pPr>
            <w:r>
              <w:t>（1）扬尘</w:t>
            </w:r>
          </w:p>
          <w:p w14:paraId="0BF7A250">
            <w:pPr>
              <w:pStyle w:val="36"/>
              <w:ind w:firstLine="480"/>
              <w:rPr>
                <w:rFonts w:hint="default"/>
              </w:rPr>
            </w:pPr>
            <w:r>
              <w:t>项目建设施工应按照《赣州市扬尘污染防治条例》开展工作，建设单位应严格落实《赣州市扬尘污染防治条例》中的扬尘污染防治措施，并做好相关监督工作，如：将扬尘污染防治费用作为不可竞争费用列入工程造价，并及时足额支付；</w:t>
            </w:r>
            <w:r>
              <w:rPr>
                <w:rFonts w:hint="default"/>
              </w:rPr>
              <w:t>在施工承包合同中明确施工单位扬尘污染防治责任，督促施工单位制定扬尘污染防治实施方案并落实各项扬尘污染防治措施；将扬尘污染防治内容纳入工程监理合同，监督监理单位按照合同履行扬尘污染防治监理义务；建立健全项目扬尘污染防治检查机制，定期组织检查；暂时不能开工的建设用地，对裸露地面进行覆盖，超过三个月的，进行临时绿化、透水铺装或者遮盖。</w:t>
            </w:r>
            <w:r>
              <w:t>具体实施措施如下：</w:t>
            </w:r>
          </w:p>
          <w:p w14:paraId="5BBE95B2">
            <w:pPr>
              <w:pStyle w:val="36"/>
              <w:ind w:firstLine="480"/>
              <w:rPr>
                <w:rFonts w:hint="default"/>
              </w:rPr>
            </w:pPr>
            <w:r>
              <w:t>①施工单位应当在施工现场出入口公示施工现场负责人、环保监督员、扬尘污染主要控制措施、举报电话等信息。</w:t>
            </w:r>
          </w:p>
          <w:p w14:paraId="727A53D9">
            <w:pPr>
              <w:pStyle w:val="36"/>
              <w:ind w:firstLine="480"/>
              <w:rPr>
                <w:rFonts w:hint="default"/>
              </w:rPr>
            </w:pPr>
            <w:r>
              <w:t>②建设施工现场必须沿工地四周连续设置稳固、整齐、美观的围挡（墙），设置围挡（墙）高度2m。围挡（墙）间无缝隙，底部设置防溢座，顶端设置压。</w:t>
            </w:r>
          </w:p>
          <w:p w14:paraId="24644B5B">
            <w:pPr>
              <w:pStyle w:val="36"/>
              <w:ind w:firstLine="480"/>
              <w:rPr>
                <w:rFonts w:hint="default"/>
              </w:rPr>
            </w:pPr>
            <w:r>
              <w:t>③建设施工现场应保持现场整洁，主要道路、加工区必须铺设混凝土地面，并满足车辆行驶要求。现场地面应平整坚实，不得产生泥土和扬尘。施工现场围挡（墙）外地面，应采取硬化措施，确保干净、整洁、卫生，无扬尘和垃圾污染。建设工程施工现场出口处应当设置车辆冲洗设施，施工车辆冲洗干净后方可上路行驶，车辆清洗处应当配套设置排水、泥浆沉淀设施。</w:t>
            </w:r>
          </w:p>
          <w:p w14:paraId="6F7CE611">
            <w:pPr>
              <w:pStyle w:val="36"/>
              <w:ind w:firstLine="480"/>
              <w:rPr>
                <w:rFonts w:hint="default"/>
              </w:rPr>
            </w:pPr>
            <w:r>
              <w:t>④施工单位在场内转运土石方、现场搅拌时必须科学、合理施工，采用有效的洒水降尘措施。土石方工程在开挖和转运沿途必须采用湿法作业。</w:t>
            </w:r>
          </w:p>
          <w:p w14:paraId="38C0ED59">
            <w:pPr>
              <w:pStyle w:val="36"/>
              <w:ind w:firstLine="480"/>
              <w:rPr>
                <w:rFonts w:hint="default"/>
              </w:rPr>
            </w:pPr>
            <w:r>
              <w:t>⑤水泥、石灰粉等建筑材料应存放在库房内或者严密遮盖。砂、石、土方等散体材料应集中堆放且覆盖。场内装卸、搬运物料应遮盖、封闭或洒水，不得凌空抛掷、抛撒。施工现场应砌筑墙体坚固的垃圾堆放池，建筑、生活垃圾集中、分类堆放，严密遮盖，日产日清。</w:t>
            </w:r>
          </w:p>
          <w:p w14:paraId="39F69ED7">
            <w:pPr>
              <w:pStyle w:val="36"/>
              <w:ind w:firstLine="480"/>
              <w:rPr>
                <w:rFonts w:hint="default"/>
              </w:rPr>
            </w:pPr>
            <w:r>
              <w:t>⑥四级以上大风天气或当地政府发布空气质量预警时，严禁进行土方开挖、回填等可能产生扬尘的施工，同时覆网防尘。</w:t>
            </w:r>
          </w:p>
          <w:p w14:paraId="1679F0FD">
            <w:pPr>
              <w:pStyle w:val="36"/>
              <w:ind w:firstLine="480"/>
              <w:rPr>
                <w:rFonts w:hint="default"/>
              </w:rPr>
            </w:pPr>
            <w:r>
              <w:t>⑦建设单位必须委托具有垃圾运输资格的运输单位进行渣土及垃圾运输。采取密闭运输，车身应保持整洁，防止建筑材料、垃圾和工程渣土飞扬、洒落、流溢，严禁抛扔或随意倾倒，保证运输途中不污染城市道路和环境，对不符合要求的运输车辆和驾驶人员，严禁进场进行装运作业。</w:t>
            </w:r>
          </w:p>
          <w:p w14:paraId="483E97DD">
            <w:pPr>
              <w:pStyle w:val="36"/>
              <w:ind w:firstLine="480"/>
              <w:rPr>
                <w:rFonts w:hint="default"/>
              </w:rPr>
            </w:pPr>
            <w:r>
              <w:t>（2）运输车辆及作业机械燃油废气</w:t>
            </w:r>
          </w:p>
          <w:p w14:paraId="6E03AEBC">
            <w:pPr>
              <w:pStyle w:val="36"/>
              <w:ind w:firstLine="480"/>
              <w:rPr>
                <w:rFonts w:hint="default"/>
              </w:rPr>
            </w:pPr>
            <w:r>
              <w:t>施工过程中燃油设备较多，产生大量的燃油废气。对于施工机械的柴油机工作时排放的烟气，施工单位应做好机械的维护、保养工作，避免油料在柴油机内不完全燃烧而产生大量的黑烟；对燃柴油的大型运输车辆、推土机、挖掘机等要安装尾气净化装置，保证尾气达标排放；运出车辆禁止超载、不得使用劣质燃料；对车辆的尾气排放进行监督管理，严格执行汽车排污监管办法、汽车排放监测制度。经过以上措施进行处理后，则项目施工的过程中对废气影响很小。</w:t>
            </w:r>
          </w:p>
          <w:p w14:paraId="19F7DE7A">
            <w:pPr>
              <w:spacing w:line="360" w:lineRule="auto"/>
              <w:ind w:firstLine="482" w:firstLineChars="200"/>
              <w:rPr>
                <w:b/>
                <w:bCs/>
                <w:sz w:val="24"/>
              </w:rPr>
            </w:pPr>
            <w:r>
              <w:rPr>
                <w:b/>
                <w:bCs/>
                <w:sz w:val="24"/>
              </w:rPr>
              <w:t>2、水环境保护措施</w:t>
            </w:r>
          </w:p>
          <w:p w14:paraId="5B432806">
            <w:pPr>
              <w:pStyle w:val="36"/>
              <w:ind w:firstLine="480"/>
              <w:rPr>
                <w:rFonts w:hint="default"/>
              </w:rPr>
            </w:pPr>
            <w:r>
              <w:t>项目为在现有厂区扩建，项目场地已做好平整硬化，搅拌站基础等可能涉及少量土石方开挖，通过对施工期排水的合理组织设计、文明施工、加强工地管理、并采取有效的处理措施，可降低施工期废水对环境的影响。主要措施有：</w:t>
            </w:r>
          </w:p>
          <w:p w14:paraId="54DA1EAD">
            <w:pPr>
              <w:pStyle w:val="36"/>
              <w:ind w:firstLine="480"/>
              <w:rPr>
                <w:rFonts w:hint="default"/>
              </w:rPr>
            </w:pPr>
            <w:r>
              <w:fldChar w:fldCharType="begin"/>
            </w:r>
            <w:r>
              <w:instrText xml:space="preserve"> = 1 \* GB3 </w:instrText>
            </w:r>
            <w:r>
              <w:fldChar w:fldCharType="separate"/>
            </w:r>
            <w:r>
              <w:t>①</w:t>
            </w:r>
            <w:r>
              <w:fldChar w:fldCharType="end"/>
            </w:r>
            <w:r>
              <w:t>施工人员日常生活可利用厂区现有的生活设施，生活污水依托现有化粪池处置；</w:t>
            </w:r>
          </w:p>
          <w:p w14:paraId="152C676C">
            <w:pPr>
              <w:pStyle w:val="36"/>
              <w:ind w:firstLine="480"/>
              <w:rPr>
                <w:rFonts w:hint="default"/>
              </w:rPr>
            </w:pPr>
            <w:r>
              <w:fldChar w:fldCharType="begin"/>
            </w:r>
            <w:r>
              <w:instrText xml:space="preserve"> = 2 \* GB3 </w:instrText>
            </w:r>
            <w:r>
              <w:fldChar w:fldCharType="separate"/>
            </w:r>
            <w:r>
              <w:t>②</w:t>
            </w:r>
            <w:r>
              <w:fldChar w:fldCharType="end"/>
            </w:r>
            <w:r>
              <w:t>在场地内设排水沟，引至厂区现有沉淀池，泥浆水经沉淀池处理后，上清液排放；沉渣收集后外运处置；</w:t>
            </w:r>
          </w:p>
          <w:p w14:paraId="33E5D75E">
            <w:pPr>
              <w:pStyle w:val="36"/>
              <w:ind w:firstLine="480"/>
              <w:rPr>
                <w:rFonts w:hint="default"/>
              </w:rPr>
            </w:pPr>
            <w:r>
              <w:fldChar w:fldCharType="begin"/>
            </w:r>
            <w:r>
              <w:instrText xml:space="preserve"> = 3 \* GB3 </w:instrText>
            </w:r>
            <w:r>
              <w:fldChar w:fldCharType="separate"/>
            </w:r>
            <w:r>
              <w:t>③</w:t>
            </w:r>
            <w:r>
              <w:fldChar w:fldCharType="end"/>
            </w:r>
            <w:r>
              <w:t>机械设备保证完好，防止泄漏油，并控制施工生产中设备用油的跑、冒、滴、漏；</w:t>
            </w:r>
          </w:p>
          <w:p w14:paraId="4754EA95">
            <w:pPr>
              <w:pStyle w:val="36"/>
              <w:ind w:firstLine="480"/>
              <w:rPr>
                <w:rFonts w:hint="default"/>
              </w:rPr>
            </w:pPr>
            <w:r>
              <w:fldChar w:fldCharType="begin"/>
            </w:r>
            <w:r>
              <w:instrText xml:space="preserve"> = 4 \* GB3 </w:instrText>
            </w:r>
            <w:r>
              <w:fldChar w:fldCharType="separate"/>
            </w:r>
            <w:r>
              <w:t>④</w:t>
            </w:r>
            <w:r>
              <w:fldChar w:fldCharType="end"/>
            </w:r>
            <w:r>
              <w:t>施工物料堆场应远离地表水体，并设置在径流不易冲刷处，粉状物料堆场应配有草包篷布等遮盖物并在周围挖设明沟以防止径流冲刷；</w:t>
            </w:r>
          </w:p>
          <w:p w14:paraId="1F92F3DF">
            <w:pPr>
              <w:pStyle w:val="36"/>
              <w:ind w:firstLine="480"/>
              <w:rPr>
                <w:rFonts w:hint="default"/>
              </w:rPr>
            </w:pPr>
            <w:r>
              <w:t>整体来说，项目现场工作条件较好，各项废水处置措施已建成，本项目施工期废水防治措施可行。</w:t>
            </w:r>
          </w:p>
          <w:p w14:paraId="5380F63B">
            <w:pPr>
              <w:spacing w:line="360" w:lineRule="auto"/>
              <w:ind w:firstLine="482" w:firstLineChars="200"/>
              <w:rPr>
                <w:b/>
                <w:bCs/>
                <w:sz w:val="24"/>
              </w:rPr>
            </w:pPr>
            <w:r>
              <w:rPr>
                <w:b/>
                <w:bCs/>
                <w:sz w:val="24"/>
              </w:rPr>
              <w:t>3、声环境保护措施</w:t>
            </w:r>
          </w:p>
          <w:p w14:paraId="7A544233">
            <w:pPr>
              <w:pStyle w:val="36"/>
              <w:ind w:firstLine="480"/>
              <w:rPr>
                <w:rFonts w:hint="default"/>
              </w:rPr>
            </w:pPr>
            <w:r>
              <w:t>为保证施工期噪声排放能达到《建筑施工场界环境噪声排放标准》（GB12523-2011）中的作业限值：昼间70dB(A)，夜间55dB(A)，建议采取以下措施对施工噪声进行防治。</w:t>
            </w:r>
          </w:p>
          <w:p w14:paraId="37ED847F">
            <w:pPr>
              <w:pStyle w:val="36"/>
              <w:ind w:firstLine="480"/>
              <w:rPr>
                <w:rFonts w:hint="default"/>
              </w:rPr>
            </w:pPr>
            <w:r>
              <w:t>（1）合理布局建设区内施工设备，如将声源较强的设备放置于远离环境保护目标的位置。</w:t>
            </w:r>
          </w:p>
          <w:p w14:paraId="106645DF">
            <w:pPr>
              <w:pStyle w:val="36"/>
              <w:ind w:firstLine="480"/>
              <w:rPr>
                <w:rFonts w:hint="default"/>
              </w:rPr>
            </w:pPr>
            <w:r>
              <w:t>（2）鉴于施工期噪声对环境产生的影响，建设单位应该合理地安排施工时间和施工规划，尽量避免高噪声源设备同时使用；</w:t>
            </w:r>
          </w:p>
          <w:p w14:paraId="0C5649EE">
            <w:pPr>
              <w:pStyle w:val="36"/>
              <w:ind w:firstLine="480"/>
              <w:rPr>
                <w:rFonts w:hint="default"/>
              </w:rPr>
            </w:pPr>
            <w:r>
              <w:t>（3）根据《江西省环境污染防治条例》，本项目建设应规范施工秩序，高噪声设备应安排在白天（除中午12:00～14:00）使用，夜间禁止使用高噪声设备（20:00-8:00）；</w:t>
            </w:r>
          </w:p>
          <w:p w14:paraId="1653E9E7">
            <w:pPr>
              <w:pStyle w:val="36"/>
              <w:ind w:firstLine="480"/>
              <w:rPr>
                <w:rFonts w:hint="default"/>
              </w:rPr>
            </w:pPr>
            <w:r>
              <w:t>（4）施工期间必须按照《建筑施工场界环境噪声排放标准》（GB12523-2011）进行施工时间、施工噪声的控制，夜间禁止施工。如根据工况要求必须连续作业，必须得到当地环保部门的许可方可施工。</w:t>
            </w:r>
          </w:p>
          <w:p w14:paraId="482466C7">
            <w:pPr>
              <w:spacing w:line="360" w:lineRule="auto"/>
              <w:ind w:firstLine="482" w:firstLineChars="200"/>
              <w:rPr>
                <w:b/>
                <w:bCs/>
                <w:sz w:val="24"/>
              </w:rPr>
            </w:pPr>
            <w:r>
              <w:rPr>
                <w:b/>
                <w:bCs/>
                <w:sz w:val="24"/>
              </w:rPr>
              <w:t>4、固废保护措施</w:t>
            </w:r>
          </w:p>
          <w:p w14:paraId="60EAB6D1">
            <w:pPr>
              <w:pStyle w:val="36"/>
              <w:ind w:firstLine="480"/>
              <w:rPr>
                <w:rFonts w:hint="default"/>
              </w:rPr>
            </w:pPr>
            <w:r>
              <w:t>本项目施工期产生固废主要为建筑垃圾、施工车辆、机械产生的危废及施工人员产生的生活垃圾。</w:t>
            </w:r>
          </w:p>
          <w:p w14:paraId="3FF5BEA2">
            <w:pPr>
              <w:pStyle w:val="36"/>
              <w:ind w:firstLine="480"/>
              <w:rPr>
                <w:rFonts w:hint="default"/>
              </w:rPr>
            </w:pPr>
            <w:r>
              <w:t>根据现场踏勘，项目建设厂址土地较为平整，土地平整阶段可做到项目区域内的挖、填平衡，无弃土产生；施工期产生的木料碎块、废铁、废钢筋等建筑垃圾，这些生产废料数量不大，且均能回收利用，建设过程中产生的少量废砖块等建筑垃圾送城市建设管理部门指定地点进行处理。施工单位要按计划及时对不能回收的部分建筑垃圾进行处理，产生的建筑垃圾根据要求及时运至指定地方，避免在施工场地堆放，尽量减少施工建筑材料的露天堆放；施工、装修期间产生的废润滑油等危废由施工单位按照要求设置临时危险废物暂存间，并定期交由有资质的单位处置；施工场地应设置临时垃圾收集点，统一收集后交由环卫部门清运，施工现场符合卫生环境管理要求。</w:t>
            </w:r>
          </w:p>
          <w:p w14:paraId="3B76098D">
            <w:pPr>
              <w:pStyle w:val="36"/>
              <w:ind w:firstLine="480"/>
              <w:rPr>
                <w:rFonts w:hint="default"/>
              </w:rPr>
            </w:pPr>
            <w:r>
              <w:t>本项目施工期的环境影响属于局部和短期的影响，随着施工过程的完成而消失，不会造成长期影响。</w:t>
            </w:r>
          </w:p>
          <w:p w14:paraId="4FFA1D4F">
            <w:pPr>
              <w:spacing w:line="360" w:lineRule="auto"/>
              <w:ind w:firstLine="482" w:firstLineChars="200"/>
              <w:rPr>
                <w:sz w:val="24"/>
              </w:rPr>
            </w:pPr>
            <w:r>
              <w:rPr>
                <w:b/>
                <w:bCs/>
                <w:sz w:val="24"/>
              </w:rPr>
              <w:t>5、生态环境保护措施</w:t>
            </w:r>
          </w:p>
          <w:p w14:paraId="12FC2C14">
            <w:pPr>
              <w:pStyle w:val="36"/>
              <w:ind w:firstLine="480"/>
              <w:rPr>
                <w:rFonts w:hint="default"/>
              </w:rPr>
            </w:pPr>
            <w:r>
              <w:t>工程建设对</w:t>
            </w:r>
            <w:r>
              <w:rPr>
                <w:rFonts w:hint="eastAsia"/>
                <w:lang w:val="en-US" w:eastAsia="zh-CN"/>
              </w:rPr>
              <w:t>区域</w:t>
            </w:r>
            <w:r>
              <w:t>植物物种及植被类型没有较大的影响，不会有植物物种和植被类型消失，评价区域内无重点保护野生植物分布，工程不会对国家重点保护野生植物产生影响。</w:t>
            </w:r>
          </w:p>
          <w:p w14:paraId="21DF595A">
            <w:pPr>
              <w:pStyle w:val="36"/>
              <w:ind w:firstLine="480"/>
              <w:rPr>
                <w:rFonts w:hint="default"/>
              </w:rPr>
            </w:pPr>
            <w:r>
              <w:t>本项目</w:t>
            </w:r>
            <w:r>
              <w:rPr>
                <w:rFonts w:hint="eastAsia"/>
                <w:lang w:val="en-US" w:eastAsia="zh-CN"/>
              </w:rPr>
              <w:t>所在区域</w:t>
            </w:r>
            <w:r>
              <w:t>生态敏感程度较低，施工期对生态环境影响较小，工程基础建设可能涉及少量土石方开挖，</w:t>
            </w:r>
            <w:r>
              <w:rPr>
                <w:rFonts w:hint="default"/>
              </w:rPr>
              <w:t>针对本项目建设特点和可能产生水土流失的环节，评价建议项目施工单位采取如下水土保持措施以防治水土流失：</w:t>
            </w:r>
          </w:p>
          <w:p w14:paraId="1237D01C">
            <w:pPr>
              <w:pStyle w:val="36"/>
              <w:ind w:firstLine="480"/>
              <w:rPr>
                <w:rFonts w:hint="default"/>
              </w:rPr>
            </w:pPr>
            <w:r>
              <w:rPr>
                <w:rFonts w:hint="default"/>
              </w:rPr>
              <w:t>（1）项目施工</w:t>
            </w:r>
            <w:r>
              <w:t>期间</w:t>
            </w:r>
            <w:r>
              <w:rPr>
                <w:rFonts w:hint="default"/>
              </w:rPr>
              <w:t>，在施工场界外围修筑临时排水截洪沟，防止雨水对开挖面的冲刷而直接进入雨水管网和周围水体，从源头上减少水土流失的形成；</w:t>
            </w:r>
          </w:p>
          <w:p w14:paraId="6CF005C2">
            <w:pPr>
              <w:pStyle w:val="36"/>
              <w:ind w:firstLine="480"/>
              <w:rPr>
                <w:rFonts w:hint="default"/>
              </w:rPr>
            </w:pPr>
            <w:r>
              <w:rPr>
                <w:rFonts w:hint="default"/>
              </w:rPr>
              <w:t>（2）建设场界内的水土保持与建设计划有机结合，使裸露的开挖面尽量少，施工结束后尽快</w:t>
            </w:r>
            <w:r>
              <w:t>硬化、绿化</w:t>
            </w:r>
            <w:r>
              <w:rPr>
                <w:rFonts w:hint="default"/>
              </w:rPr>
              <w:t>，减少开挖面裸露时间和裸露面积，尽快回填开挖土方；</w:t>
            </w:r>
          </w:p>
          <w:p w14:paraId="458FD2FA">
            <w:pPr>
              <w:pStyle w:val="36"/>
              <w:ind w:firstLine="480"/>
              <w:rPr>
                <w:rFonts w:hint="default"/>
              </w:rPr>
            </w:pPr>
            <w:r>
              <w:rPr>
                <w:rFonts w:hint="default"/>
              </w:rPr>
              <w:t>（3）加强对场界内开挖土方临时堆放场地的管理，设置挡土设施，防止雨水冲刷流失，土方根据需要</w:t>
            </w:r>
            <w:r>
              <w:t>及时</w:t>
            </w:r>
            <w:r>
              <w:rPr>
                <w:rFonts w:hint="default"/>
              </w:rPr>
              <w:t>回填，及时清理场地。</w:t>
            </w:r>
          </w:p>
          <w:p w14:paraId="05697A37">
            <w:pPr>
              <w:pStyle w:val="36"/>
              <w:ind w:firstLine="0" w:firstLineChars="0"/>
              <w:rPr>
                <w:rFonts w:hint="default"/>
              </w:rPr>
            </w:pPr>
          </w:p>
          <w:p w14:paraId="122D7B9F">
            <w:pPr>
              <w:pStyle w:val="36"/>
              <w:ind w:firstLine="0" w:firstLineChars="0"/>
              <w:rPr>
                <w:rFonts w:hint="default"/>
              </w:rPr>
            </w:pPr>
          </w:p>
          <w:p w14:paraId="7C80CD42">
            <w:pPr>
              <w:pStyle w:val="36"/>
              <w:ind w:firstLine="0" w:firstLineChars="0"/>
              <w:rPr>
                <w:rFonts w:hint="default"/>
              </w:rPr>
            </w:pPr>
          </w:p>
          <w:p w14:paraId="35915EEC">
            <w:pPr>
              <w:pStyle w:val="36"/>
              <w:ind w:firstLine="0" w:firstLineChars="0"/>
              <w:rPr>
                <w:rFonts w:hint="default"/>
              </w:rPr>
            </w:pPr>
          </w:p>
          <w:p w14:paraId="1FB8E20E">
            <w:pPr>
              <w:pStyle w:val="36"/>
              <w:ind w:firstLine="0" w:firstLineChars="0"/>
              <w:rPr>
                <w:rFonts w:hint="default"/>
              </w:rPr>
            </w:pPr>
          </w:p>
          <w:p w14:paraId="5CDFC163">
            <w:pPr>
              <w:pStyle w:val="36"/>
              <w:ind w:firstLine="0" w:firstLineChars="0"/>
              <w:rPr>
                <w:rFonts w:hint="default"/>
              </w:rPr>
            </w:pPr>
          </w:p>
          <w:p w14:paraId="5352377B">
            <w:pPr>
              <w:pStyle w:val="36"/>
              <w:ind w:firstLine="0" w:firstLineChars="0"/>
              <w:rPr>
                <w:rFonts w:hint="default"/>
              </w:rPr>
            </w:pPr>
          </w:p>
          <w:p w14:paraId="52C96034">
            <w:pPr>
              <w:pStyle w:val="36"/>
              <w:ind w:firstLine="0" w:firstLineChars="0"/>
              <w:rPr>
                <w:rFonts w:hint="default"/>
              </w:rPr>
            </w:pPr>
          </w:p>
          <w:p w14:paraId="552FF042">
            <w:pPr>
              <w:pStyle w:val="36"/>
              <w:ind w:firstLine="0" w:firstLineChars="0"/>
              <w:rPr>
                <w:rFonts w:hint="default"/>
              </w:rPr>
            </w:pPr>
          </w:p>
          <w:p w14:paraId="1070EC31">
            <w:pPr>
              <w:pStyle w:val="36"/>
              <w:ind w:firstLine="0" w:firstLineChars="0"/>
              <w:rPr>
                <w:rFonts w:hint="default"/>
              </w:rPr>
            </w:pPr>
          </w:p>
          <w:p w14:paraId="3781F5CC">
            <w:pPr>
              <w:pStyle w:val="36"/>
              <w:ind w:firstLine="0" w:firstLineChars="0"/>
              <w:rPr>
                <w:rFonts w:hint="default"/>
              </w:rPr>
            </w:pPr>
          </w:p>
          <w:p w14:paraId="07F235CE">
            <w:pPr>
              <w:pStyle w:val="36"/>
              <w:ind w:firstLine="0" w:firstLineChars="0"/>
              <w:rPr>
                <w:rFonts w:hint="default"/>
              </w:rPr>
            </w:pPr>
          </w:p>
          <w:p w14:paraId="48CB863E">
            <w:pPr>
              <w:pStyle w:val="36"/>
              <w:ind w:firstLine="0" w:firstLineChars="0"/>
              <w:rPr>
                <w:rFonts w:hint="default"/>
              </w:rPr>
            </w:pPr>
          </w:p>
          <w:p w14:paraId="1F2200A9">
            <w:pPr>
              <w:pStyle w:val="36"/>
              <w:ind w:firstLine="0" w:firstLineChars="0"/>
              <w:rPr>
                <w:rFonts w:hint="default"/>
              </w:rPr>
            </w:pPr>
          </w:p>
          <w:p w14:paraId="2DFBDB25">
            <w:pPr>
              <w:pStyle w:val="36"/>
              <w:ind w:firstLine="0" w:firstLineChars="0"/>
              <w:rPr>
                <w:rFonts w:hint="default"/>
              </w:rPr>
            </w:pPr>
          </w:p>
          <w:p w14:paraId="79D04FFD">
            <w:pPr>
              <w:pStyle w:val="36"/>
              <w:ind w:firstLine="0" w:firstLineChars="0"/>
              <w:rPr>
                <w:rFonts w:hint="default"/>
              </w:rPr>
            </w:pPr>
          </w:p>
          <w:p w14:paraId="5D0EEEA5">
            <w:pPr>
              <w:pStyle w:val="36"/>
              <w:ind w:firstLine="0" w:firstLineChars="0"/>
              <w:rPr>
                <w:rFonts w:hint="default"/>
              </w:rPr>
            </w:pPr>
          </w:p>
          <w:p w14:paraId="08D16943">
            <w:pPr>
              <w:pStyle w:val="36"/>
              <w:ind w:firstLine="0" w:firstLineChars="0"/>
              <w:rPr>
                <w:rFonts w:hint="default"/>
              </w:rPr>
            </w:pPr>
          </w:p>
          <w:p w14:paraId="4D951306">
            <w:pPr>
              <w:pStyle w:val="36"/>
              <w:ind w:firstLine="0" w:firstLineChars="0"/>
              <w:rPr>
                <w:rFonts w:hint="default"/>
              </w:rPr>
            </w:pPr>
          </w:p>
          <w:p w14:paraId="6748600D">
            <w:pPr>
              <w:pStyle w:val="36"/>
              <w:ind w:firstLine="0" w:firstLineChars="0"/>
              <w:rPr>
                <w:rFonts w:hint="default"/>
              </w:rPr>
            </w:pPr>
          </w:p>
          <w:p w14:paraId="11411282">
            <w:pPr>
              <w:pStyle w:val="36"/>
              <w:ind w:firstLine="0" w:firstLineChars="0"/>
              <w:rPr>
                <w:rFonts w:hint="default"/>
              </w:rPr>
            </w:pPr>
          </w:p>
          <w:p w14:paraId="4870BDF2">
            <w:pPr>
              <w:pStyle w:val="36"/>
              <w:ind w:firstLine="0" w:firstLineChars="0"/>
              <w:rPr>
                <w:rFonts w:hint="default"/>
              </w:rPr>
            </w:pPr>
          </w:p>
          <w:p w14:paraId="2B3AA86B">
            <w:pPr>
              <w:pStyle w:val="36"/>
              <w:ind w:firstLine="0" w:firstLineChars="0"/>
              <w:rPr>
                <w:rFonts w:hint="default"/>
              </w:rPr>
            </w:pPr>
          </w:p>
          <w:p w14:paraId="7FEF3D96">
            <w:pPr>
              <w:pStyle w:val="36"/>
              <w:ind w:firstLine="0" w:firstLineChars="0"/>
              <w:rPr>
                <w:rFonts w:hint="default"/>
              </w:rPr>
            </w:pPr>
          </w:p>
          <w:p w14:paraId="0E192FE1">
            <w:pPr>
              <w:pStyle w:val="36"/>
              <w:ind w:firstLine="0" w:firstLineChars="0"/>
              <w:rPr>
                <w:rFonts w:hint="default"/>
              </w:rPr>
            </w:pPr>
          </w:p>
          <w:p w14:paraId="6EAE4512">
            <w:pPr>
              <w:pStyle w:val="36"/>
              <w:ind w:firstLine="0" w:firstLineChars="0"/>
              <w:rPr>
                <w:rFonts w:hint="default"/>
              </w:rPr>
            </w:pPr>
          </w:p>
          <w:p w14:paraId="3ED16A97">
            <w:pPr>
              <w:pStyle w:val="36"/>
              <w:ind w:firstLine="0" w:firstLineChars="0"/>
              <w:rPr>
                <w:rFonts w:hint="default"/>
              </w:rPr>
            </w:pPr>
          </w:p>
          <w:p w14:paraId="6548B969">
            <w:pPr>
              <w:pStyle w:val="36"/>
              <w:ind w:firstLine="0" w:firstLineChars="0"/>
              <w:rPr>
                <w:rFonts w:hint="default"/>
              </w:rPr>
            </w:pPr>
          </w:p>
          <w:p w14:paraId="1B4FC0E6">
            <w:pPr>
              <w:pStyle w:val="36"/>
              <w:ind w:firstLine="0" w:firstLineChars="0"/>
              <w:rPr>
                <w:rFonts w:hint="default"/>
              </w:rPr>
            </w:pPr>
          </w:p>
        </w:tc>
      </w:tr>
      <w:tr w14:paraId="77C9F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7" w:hRule="atLeast"/>
          <w:jc w:val="center"/>
        </w:trPr>
        <w:tc>
          <w:tcPr>
            <w:tcW w:w="924" w:type="dxa"/>
            <w:tcMar>
              <w:left w:w="28" w:type="dxa"/>
              <w:right w:w="28" w:type="dxa"/>
            </w:tcMar>
            <w:vAlign w:val="center"/>
          </w:tcPr>
          <w:p w14:paraId="452BF582">
            <w:pPr>
              <w:adjustRightInd w:val="0"/>
              <w:snapToGrid w:val="0"/>
              <w:jc w:val="center"/>
              <w:rPr>
                <w:bCs/>
                <w:szCs w:val="21"/>
              </w:rPr>
            </w:pPr>
            <w:r>
              <w:rPr>
                <w:bCs/>
                <w:szCs w:val="21"/>
              </w:rPr>
              <w:t>运营</w:t>
            </w:r>
          </w:p>
          <w:p w14:paraId="4C839801">
            <w:pPr>
              <w:adjustRightInd w:val="0"/>
              <w:snapToGrid w:val="0"/>
              <w:jc w:val="center"/>
              <w:rPr>
                <w:bCs/>
                <w:szCs w:val="21"/>
              </w:rPr>
            </w:pPr>
            <w:r>
              <w:rPr>
                <w:bCs/>
                <w:szCs w:val="21"/>
              </w:rPr>
              <w:t>期环</w:t>
            </w:r>
          </w:p>
          <w:p w14:paraId="3CA1E5BC">
            <w:pPr>
              <w:adjustRightInd w:val="0"/>
              <w:snapToGrid w:val="0"/>
              <w:jc w:val="center"/>
              <w:rPr>
                <w:bCs/>
                <w:szCs w:val="21"/>
              </w:rPr>
            </w:pPr>
            <w:r>
              <w:rPr>
                <w:bCs/>
                <w:szCs w:val="21"/>
              </w:rPr>
              <w:t>境影</w:t>
            </w:r>
          </w:p>
          <w:p w14:paraId="7ED5066C">
            <w:pPr>
              <w:adjustRightInd w:val="0"/>
              <w:snapToGrid w:val="0"/>
              <w:jc w:val="center"/>
              <w:rPr>
                <w:bCs/>
                <w:szCs w:val="21"/>
              </w:rPr>
            </w:pPr>
            <w:r>
              <w:rPr>
                <w:bCs/>
                <w:szCs w:val="21"/>
              </w:rPr>
              <w:t>响和</w:t>
            </w:r>
          </w:p>
          <w:p w14:paraId="5324E655">
            <w:pPr>
              <w:adjustRightInd w:val="0"/>
              <w:snapToGrid w:val="0"/>
              <w:jc w:val="center"/>
              <w:rPr>
                <w:bCs/>
                <w:szCs w:val="21"/>
              </w:rPr>
            </w:pPr>
            <w:r>
              <w:rPr>
                <w:bCs/>
                <w:szCs w:val="21"/>
              </w:rPr>
              <w:t>保护</w:t>
            </w:r>
          </w:p>
          <w:p w14:paraId="749E7807">
            <w:pPr>
              <w:pStyle w:val="24"/>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bCs/>
                <w:szCs w:val="21"/>
              </w:rPr>
              <w:t>措施</w:t>
            </w:r>
          </w:p>
        </w:tc>
        <w:tc>
          <w:tcPr>
            <w:tcW w:w="8990" w:type="dxa"/>
            <w:vAlign w:val="center"/>
          </w:tcPr>
          <w:p w14:paraId="0DCC249F">
            <w:pPr>
              <w:pStyle w:val="42"/>
              <w:spacing w:before="120" w:beforeLines="50"/>
              <w:ind w:firstLine="482"/>
              <w:rPr>
                <w:b/>
                <w:bCs/>
              </w:rPr>
            </w:pPr>
            <w:r>
              <w:rPr>
                <w:rFonts w:hint="eastAsia"/>
                <w:b/>
                <w:bCs/>
              </w:rPr>
              <w:t>（一）</w:t>
            </w:r>
            <w:r>
              <w:rPr>
                <w:b/>
                <w:bCs/>
              </w:rPr>
              <w:t>废气</w:t>
            </w:r>
          </w:p>
          <w:p w14:paraId="7B7A9DDB">
            <w:pPr>
              <w:pStyle w:val="36"/>
              <w:ind w:firstLine="480"/>
              <w:rPr>
                <w:rFonts w:hint="default"/>
              </w:rPr>
            </w:pPr>
            <w:r>
              <w:rPr>
                <w:rFonts w:hint="default"/>
              </w:rPr>
              <w:t>本项目废气主要为污水处理系统散发的恶臭气体，恶臭气体是由蛋白质、脂肪、碳水化合物的微生物呼吸、发酵过程的产物和不完全产物</w:t>
            </w:r>
            <w:r>
              <w:t>；</w:t>
            </w:r>
            <w:r>
              <w:rPr>
                <w:rFonts w:hint="default"/>
              </w:rPr>
              <w:t>国内污水处理厂项目分析评价恶臭气体产排情况时，大多选取</w:t>
            </w:r>
            <w:r>
              <w:rPr>
                <w:rFonts w:hint="default"/>
                <w:sz w:val="21"/>
                <w:szCs w:val="21"/>
              </w:rPr>
              <w:t>NH</w:t>
            </w:r>
            <w:r>
              <w:rPr>
                <w:rFonts w:hint="default"/>
                <w:sz w:val="21"/>
                <w:szCs w:val="21"/>
                <w:vertAlign w:val="subscript"/>
              </w:rPr>
              <w:t>3</w:t>
            </w:r>
            <w:r>
              <w:rPr>
                <w:rFonts w:hint="default"/>
              </w:rPr>
              <w:t>和</w:t>
            </w:r>
            <w:r>
              <w:rPr>
                <w:rFonts w:hint="default"/>
                <w:sz w:val="21"/>
                <w:szCs w:val="21"/>
              </w:rPr>
              <w:t>H</w:t>
            </w:r>
            <w:r>
              <w:rPr>
                <w:rFonts w:hint="default"/>
                <w:sz w:val="21"/>
                <w:szCs w:val="21"/>
                <w:vertAlign w:val="subscript"/>
              </w:rPr>
              <w:t>2</w:t>
            </w:r>
            <w:r>
              <w:rPr>
                <w:rFonts w:hint="default"/>
                <w:sz w:val="21"/>
                <w:szCs w:val="21"/>
              </w:rPr>
              <w:t>S</w:t>
            </w:r>
            <w:r>
              <w:rPr>
                <w:rFonts w:hint="default"/>
              </w:rPr>
              <w:t>作为特征因子。因此，本项目选用</w:t>
            </w:r>
            <w:r>
              <w:rPr>
                <w:rFonts w:hint="default"/>
                <w:sz w:val="21"/>
                <w:szCs w:val="21"/>
              </w:rPr>
              <w:t>NH</w:t>
            </w:r>
            <w:r>
              <w:rPr>
                <w:rFonts w:hint="default"/>
                <w:sz w:val="21"/>
                <w:szCs w:val="21"/>
                <w:vertAlign w:val="subscript"/>
              </w:rPr>
              <w:t>3</w:t>
            </w:r>
            <w:r>
              <w:rPr>
                <w:rFonts w:hint="default"/>
              </w:rPr>
              <w:t>、</w:t>
            </w:r>
            <w:r>
              <w:rPr>
                <w:rFonts w:hint="default"/>
                <w:sz w:val="21"/>
                <w:szCs w:val="21"/>
              </w:rPr>
              <w:t>H</w:t>
            </w:r>
            <w:r>
              <w:rPr>
                <w:rFonts w:hint="default"/>
                <w:sz w:val="21"/>
                <w:szCs w:val="21"/>
                <w:vertAlign w:val="subscript"/>
              </w:rPr>
              <w:t>2</w:t>
            </w:r>
            <w:r>
              <w:rPr>
                <w:rFonts w:hint="default"/>
                <w:sz w:val="21"/>
                <w:szCs w:val="21"/>
              </w:rPr>
              <w:t>S</w:t>
            </w:r>
            <w:r>
              <w:rPr>
                <w:rFonts w:hint="default"/>
              </w:rPr>
              <w:t>作为恶臭气体的特征污染因子。</w:t>
            </w:r>
          </w:p>
          <w:p w14:paraId="290DA941">
            <w:pPr>
              <w:adjustRightInd w:val="0"/>
              <w:snapToGrid w:val="0"/>
              <w:spacing w:line="360" w:lineRule="auto"/>
              <w:ind w:firstLine="482" w:firstLineChars="200"/>
              <w:jc w:val="left"/>
              <w:rPr>
                <w:b/>
                <w:bCs/>
                <w:sz w:val="24"/>
              </w:rPr>
            </w:pPr>
            <w:r>
              <w:rPr>
                <w:rFonts w:hint="eastAsia"/>
                <w:b/>
                <w:bCs/>
                <w:sz w:val="24"/>
              </w:rPr>
              <w:t>1.废气污染物源强分析</w:t>
            </w:r>
          </w:p>
          <w:p w14:paraId="7114F9C2">
            <w:pPr>
              <w:pStyle w:val="36"/>
              <w:ind w:firstLine="480"/>
              <w:rPr>
                <w:rFonts w:hint="default"/>
              </w:rPr>
            </w:pPr>
            <w:r>
              <w:t>（1）污水处理工程</w:t>
            </w:r>
          </w:p>
          <w:p w14:paraId="606CEF79">
            <w:pPr>
              <w:pStyle w:val="36"/>
              <w:ind w:firstLine="480"/>
              <w:rPr>
                <w:rFonts w:hint="default"/>
              </w:rPr>
            </w:pPr>
            <w:r>
              <w:rPr>
                <w:rFonts w:hint="default"/>
              </w:rPr>
              <w:t>污水处理厂的恶臭逸出量大小受污水量、BOD</w:t>
            </w:r>
            <w:r>
              <w:rPr>
                <w:rFonts w:hint="default"/>
                <w:vertAlign w:val="subscript"/>
              </w:rPr>
              <w:t>5</w:t>
            </w:r>
            <w:r>
              <w:rPr>
                <w:rFonts w:hint="default"/>
              </w:rPr>
              <w:t>负荷、污水中的DO、污泥量及堆存量、污染气象特征等多种因素影响。参照《污水处理厂恶臭防治对策及环境影响评价的研究》（薛松，和慧，邓莉蕊，孙晶晶）及《城市污水处理厂恶臭影响及对策分析》</w:t>
            </w:r>
            <w:r>
              <w:t>）</w:t>
            </w:r>
            <w:r>
              <w:rPr>
                <w:rFonts w:hint="default"/>
              </w:rPr>
              <w:t>（王喜红，黑龙江环境通报，2011年9月），本次评价根据产生恶臭的构筑物设计表面积对本项目主要臭气产生单元</w:t>
            </w:r>
            <w:r>
              <w:rPr>
                <w:rFonts w:hint="default"/>
                <w:sz w:val="21"/>
                <w:szCs w:val="21"/>
              </w:rPr>
              <w:t>NH</w:t>
            </w:r>
            <w:r>
              <w:rPr>
                <w:rFonts w:hint="default"/>
                <w:sz w:val="21"/>
                <w:szCs w:val="21"/>
                <w:vertAlign w:val="subscript"/>
              </w:rPr>
              <w:t>3</w:t>
            </w:r>
            <w:r>
              <w:rPr>
                <w:rFonts w:hint="default"/>
              </w:rPr>
              <w:t>和</w:t>
            </w:r>
            <w:r>
              <w:rPr>
                <w:rFonts w:hint="default"/>
                <w:sz w:val="21"/>
                <w:szCs w:val="21"/>
              </w:rPr>
              <w:t>H</w:t>
            </w:r>
            <w:r>
              <w:rPr>
                <w:rFonts w:hint="default"/>
                <w:sz w:val="21"/>
                <w:szCs w:val="21"/>
                <w:vertAlign w:val="subscript"/>
              </w:rPr>
              <w:t>2</w:t>
            </w:r>
            <w:r>
              <w:rPr>
                <w:rFonts w:hint="default"/>
                <w:sz w:val="21"/>
                <w:szCs w:val="21"/>
              </w:rPr>
              <w:t>S</w:t>
            </w:r>
            <w:r>
              <w:rPr>
                <w:rFonts w:hint="default"/>
              </w:rPr>
              <w:t>的产生量进行估算。</w:t>
            </w:r>
          </w:p>
          <w:p w14:paraId="56C2773E">
            <w:pPr>
              <w:pStyle w:val="36"/>
              <w:ind w:firstLine="480"/>
              <w:rPr>
                <w:rFonts w:hint="default"/>
              </w:rPr>
            </w:pPr>
            <w:r>
              <w:rPr>
                <w:rFonts w:hint="default"/>
              </w:rPr>
              <w:t>污水处理厂各处理单元产生的</w:t>
            </w:r>
            <w:r>
              <w:rPr>
                <w:rFonts w:hint="default"/>
                <w:sz w:val="21"/>
                <w:szCs w:val="21"/>
              </w:rPr>
              <w:t>NH</w:t>
            </w:r>
            <w:r>
              <w:rPr>
                <w:rFonts w:hint="default"/>
                <w:sz w:val="21"/>
                <w:szCs w:val="21"/>
                <w:vertAlign w:val="subscript"/>
              </w:rPr>
              <w:t>3</w:t>
            </w:r>
            <w:r>
              <w:rPr>
                <w:rFonts w:hint="default"/>
              </w:rPr>
              <w:t>和</w:t>
            </w:r>
            <w:r>
              <w:rPr>
                <w:rFonts w:hint="default"/>
                <w:sz w:val="21"/>
                <w:szCs w:val="21"/>
              </w:rPr>
              <w:t>H</w:t>
            </w:r>
            <w:r>
              <w:rPr>
                <w:rFonts w:hint="default"/>
                <w:sz w:val="21"/>
                <w:szCs w:val="21"/>
                <w:vertAlign w:val="subscript"/>
              </w:rPr>
              <w:t>2</w:t>
            </w:r>
            <w:r>
              <w:rPr>
                <w:rFonts w:hint="default"/>
                <w:sz w:val="21"/>
                <w:szCs w:val="21"/>
              </w:rPr>
              <w:t>S</w:t>
            </w:r>
            <w:r>
              <w:rPr>
                <w:rFonts w:hint="default"/>
              </w:rPr>
              <w:t>产生情况见下表：</w:t>
            </w:r>
          </w:p>
          <w:p w14:paraId="0B037606">
            <w:pPr>
              <w:pStyle w:val="52"/>
            </w:pPr>
            <w:r>
              <w:t>污染处理构筑物臭气污染物产生源强</w:t>
            </w:r>
            <w:r>
              <w:rPr>
                <w:rFonts w:hint="eastAsia"/>
              </w:rPr>
              <w:t>系数</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41207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tcBorders>
                    <w:tl2br w:val="nil"/>
                    <w:tr2bl w:val="nil"/>
                  </w:tcBorders>
                  <w:vAlign w:val="center"/>
                </w:tcPr>
                <w:p w14:paraId="75B96ACB">
                  <w:pPr>
                    <w:pStyle w:val="38"/>
                    <w:rPr>
                      <w:b/>
                      <w:bCs/>
                    </w:rPr>
                  </w:pPr>
                  <w:r>
                    <w:rPr>
                      <w:b/>
                      <w:bCs/>
                    </w:rPr>
                    <w:t>废气处理单元</w:t>
                  </w:r>
                </w:p>
              </w:tc>
              <w:tc>
                <w:tcPr>
                  <w:tcW w:w="2841" w:type="dxa"/>
                  <w:tcBorders>
                    <w:tl2br w:val="nil"/>
                    <w:tr2bl w:val="nil"/>
                  </w:tcBorders>
                  <w:vAlign w:val="center"/>
                </w:tcPr>
                <w:p w14:paraId="7A12C58D">
                  <w:pPr>
                    <w:pStyle w:val="38"/>
                    <w:rPr>
                      <w:b/>
                      <w:bCs/>
                    </w:rPr>
                  </w:pPr>
                  <w:r>
                    <w:t>NH</w:t>
                  </w:r>
                  <w:r>
                    <w:rPr>
                      <w:vertAlign w:val="subscript"/>
                    </w:rPr>
                    <w:t>3</w:t>
                  </w:r>
                  <w:r>
                    <w:rPr>
                      <w:b/>
                      <w:bCs/>
                    </w:rPr>
                    <w:t>（mg/s·</w:t>
                  </w:r>
                  <w:r>
                    <w:t>m</w:t>
                  </w:r>
                  <w:r>
                    <w:rPr>
                      <w:vertAlign w:val="superscript"/>
                    </w:rPr>
                    <w:t>2</w:t>
                  </w:r>
                  <w:r>
                    <w:rPr>
                      <w:rFonts w:hint="eastAsia"/>
                      <w:b/>
                      <w:bCs/>
                      <w:vertAlign w:val="superscript"/>
                    </w:rPr>
                    <w:t>）</w:t>
                  </w:r>
                </w:p>
              </w:tc>
              <w:tc>
                <w:tcPr>
                  <w:tcW w:w="2841" w:type="dxa"/>
                  <w:tcBorders>
                    <w:tl2br w:val="nil"/>
                    <w:tr2bl w:val="nil"/>
                  </w:tcBorders>
                  <w:vAlign w:val="center"/>
                </w:tcPr>
                <w:p w14:paraId="649F625B">
                  <w:pPr>
                    <w:pStyle w:val="38"/>
                    <w:rPr>
                      <w:b/>
                      <w:bCs/>
                    </w:rPr>
                  </w:pPr>
                  <w:r>
                    <w:t>H</w:t>
                  </w:r>
                  <w:r>
                    <w:rPr>
                      <w:vertAlign w:val="subscript"/>
                    </w:rPr>
                    <w:t>2</w:t>
                  </w:r>
                  <w:r>
                    <w:t>S</w:t>
                  </w:r>
                  <w:r>
                    <w:rPr>
                      <w:b/>
                      <w:bCs/>
                    </w:rPr>
                    <w:t>（mg/s·</w:t>
                  </w:r>
                  <w:r>
                    <w:t>m</w:t>
                  </w:r>
                  <w:r>
                    <w:rPr>
                      <w:vertAlign w:val="superscript"/>
                    </w:rPr>
                    <w:t>2</w:t>
                  </w:r>
                  <w:r>
                    <w:rPr>
                      <w:rFonts w:hint="eastAsia"/>
                      <w:b/>
                      <w:bCs/>
                      <w:vertAlign w:val="superscript"/>
                    </w:rPr>
                    <w:t>）</w:t>
                  </w:r>
                </w:p>
              </w:tc>
            </w:tr>
            <w:tr w14:paraId="0391F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tcBorders>
                    <w:tl2br w:val="nil"/>
                    <w:tr2bl w:val="nil"/>
                  </w:tcBorders>
                  <w:vAlign w:val="center"/>
                </w:tcPr>
                <w:p w14:paraId="01E35D67">
                  <w:pPr>
                    <w:pStyle w:val="38"/>
                  </w:pPr>
                  <w:r>
                    <w:t>预处理单元</w:t>
                  </w:r>
                </w:p>
              </w:tc>
              <w:tc>
                <w:tcPr>
                  <w:tcW w:w="2841" w:type="dxa"/>
                  <w:tcBorders>
                    <w:tl2br w:val="nil"/>
                    <w:tr2bl w:val="nil"/>
                  </w:tcBorders>
                  <w:vAlign w:val="center"/>
                </w:tcPr>
                <w:p w14:paraId="1FD308DA">
                  <w:pPr>
                    <w:pStyle w:val="38"/>
                  </w:pPr>
                  <w:r>
                    <w:t>0.092</w:t>
                  </w:r>
                </w:p>
              </w:tc>
              <w:tc>
                <w:tcPr>
                  <w:tcW w:w="2841" w:type="dxa"/>
                  <w:tcBorders>
                    <w:tl2br w:val="nil"/>
                    <w:tr2bl w:val="nil"/>
                  </w:tcBorders>
                  <w:vAlign w:val="center"/>
                </w:tcPr>
                <w:p w14:paraId="65F0FD47">
                  <w:pPr>
                    <w:pStyle w:val="38"/>
                  </w:pPr>
                  <w:r>
                    <w:t>1.068×10</w:t>
                  </w:r>
                  <w:r>
                    <w:rPr>
                      <w:vertAlign w:val="superscript"/>
                    </w:rPr>
                    <w:t>-3</w:t>
                  </w:r>
                </w:p>
              </w:tc>
            </w:tr>
            <w:tr w14:paraId="3B721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tcBorders>
                    <w:tl2br w:val="nil"/>
                    <w:tr2bl w:val="nil"/>
                  </w:tcBorders>
                  <w:vAlign w:val="center"/>
                </w:tcPr>
                <w:p w14:paraId="6047C312">
                  <w:pPr>
                    <w:pStyle w:val="38"/>
                  </w:pPr>
                  <w:r>
                    <w:t>生化处理单元</w:t>
                  </w:r>
                </w:p>
              </w:tc>
              <w:tc>
                <w:tcPr>
                  <w:tcW w:w="2841" w:type="dxa"/>
                  <w:tcBorders>
                    <w:tl2br w:val="nil"/>
                    <w:tr2bl w:val="nil"/>
                  </w:tcBorders>
                  <w:vAlign w:val="center"/>
                </w:tcPr>
                <w:p w14:paraId="749EBD30">
                  <w:pPr>
                    <w:pStyle w:val="38"/>
                  </w:pPr>
                  <w:r>
                    <w:t>0.007</w:t>
                  </w:r>
                </w:p>
              </w:tc>
              <w:tc>
                <w:tcPr>
                  <w:tcW w:w="2841" w:type="dxa"/>
                  <w:tcBorders>
                    <w:tl2br w:val="nil"/>
                    <w:tr2bl w:val="nil"/>
                  </w:tcBorders>
                  <w:vAlign w:val="center"/>
                </w:tcPr>
                <w:p w14:paraId="7419F9D6">
                  <w:pPr>
                    <w:pStyle w:val="38"/>
                  </w:pPr>
                  <w:r>
                    <w:t>0.26×10</w:t>
                  </w:r>
                  <w:r>
                    <w:rPr>
                      <w:vertAlign w:val="superscript"/>
                    </w:rPr>
                    <w:t>-3</w:t>
                  </w:r>
                </w:p>
              </w:tc>
            </w:tr>
            <w:tr w14:paraId="122B2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tcBorders>
                    <w:tl2br w:val="nil"/>
                    <w:tr2bl w:val="nil"/>
                  </w:tcBorders>
                  <w:vAlign w:val="center"/>
                </w:tcPr>
                <w:p w14:paraId="48DD5515">
                  <w:pPr>
                    <w:pStyle w:val="38"/>
                  </w:pPr>
                  <w:r>
                    <w:t>污泥处理单元</w:t>
                  </w:r>
                </w:p>
              </w:tc>
              <w:tc>
                <w:tcPr>
                  <w:tcW w:w="2841" w:type="dxa"/>
                  <w:tcBorders>
                    <w:tl2br w:val="nil"/>
                    <w:tr2bl w:val="nil"/>
                  </w:tcBorders>
                  <w:vAlign w:val="center"/>
                </w:tcPr>
                <w:p w14:paraId="16FE8D55">
                  <w:pPr>
                    <w:pStyle w:val="38"/>
                  </w:pPr>
                  <w:r>
                    <w:t>0.085</w:t>
                  </w:r>
                </w:p>
              </w:tc>
              <w:tc>
                <w:tcPr>
                  <w:tcW w:w="2841" w:type="dxa"/>
                  <w:tcBorders>
                    <w:tl2br w:val="nil"/>
                    <w:tr2bl w:val="nil"/>
                  </w:tcBorders>
                  <w:vAlign w:val="center"/>
                </w:tcPr>
                <w:p w14:paraId="6038C7DD">
                  <w:pPr>
                    <w:pStyle w:val="38"/>
                  </w:pPr>
                  <w:r>
                    <w:t>0.03×10</w:t>
                  </w:r>
                  <w:r>
                    <w:rPr>
                      <w:vertAlign w:val="superscript"/>
                    </w:rPr>
                    <w:t>-3</w:t>
                  </w:r>
                </w:p>
              </w:tc>
            </w:tr>
          </w:tbl>
          <w:p w14:paraId="3BBDCCEE">
            <w:pPr>
              <w:pStyle w:val="36"/>
              <w:ind w:firstLine="480"/>
              <w:rPr>
                <w:rFonts w:hint="default"/>
              </w:rPr>
            </w:pPr>
            <w:r>
              <w:t>根据各处理单元及上表臭气污染物浓度情况，本项目臭气污染物产生情况如下表所示：</w:t>
            </w:r>
          </w:p>
          <w:p w14:paraId="41FE7DFB">
            <w:pPr>
              <w:pStyle w:val="52"/>
            </w:pPr>
            <w:r>
              <w:t>项目臭气污染物产生情况</w:t>
            </w:r>
          </w:p>
          <w:tbl>
            <w:tblPr>
              <w:tblStyle w:val="28"/>
              <w:tblpPr w:leftFromText="180" w:rightFromText="180" w:vertAnchor="text" w:tblpXSpec="center" w:tblpY="1"/>
              <w:tblOverlap w:val="never"/>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4"/>
              <w:gridCol w:w="859"/>
              <w:gridCol w:w="1582"/>
              <w:gridCol w:w="832"/>
              <w:gridCol w:w="1145"/>
              <w:gridCol w:w="1145"/>
              <w:gridCol w:w="1145"/>
              <w:gridCol w:w="1145"/>
            </w:tblGrid>
            <w:tr w14:paraId="519034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664" w:type="dxa"/>
                  <w:vMerge w:val="restart"/>
                  <w:tcBorders>
                    <w:tl2br w:val="nil"/>
                    <w:tr2bl w:val="nil"/>
                  </w:tcBorders>
                  <w:noWrap/>
                  <w:vAlign w:val="center"/>
                </w:tcPr>
                <w:p w14:paraId="5BC34A1D">
                  <w:pPr>
                    <w:pStyle w:val="38"/>
                    <w:rPr>
                      <w:rFonts w:hint="eastAsia" w:eastAsia="宋体"/>
                      <w:b/>
                      <w:bCs/>
                      <w:lang w:eastAsia="zh-CN"/>
                    </w:rPr>
                  </w:pPr>
                  <w:r>
                    <w:rPr>
                      <w:rFonts w:hint="eastAsia"/>
                      <w:b/>
                      <w:bCs/>
                      <w:lang w:val="en-US" w:eastAsia="zh-CN"/>
                    </w:rPr>
                    <w:t>名称</w:t>
                  </w:r>
                </w:p>
              </w:tc>
              <w:tc>
                <w:tcPr>
                  <w:tcW w:w="859" w:type="dxa"/>
                  <w:vMerge w:val="restart"/>
                  <w:tcBorders>
                    <w:tl2br w:val="nil"/>
                    <w:tr2bl w:val="nil"/>
                  </w:tcBorders>
                  <w:noWrap/>
                  <w:vAlign w:val="center"/>
                </w:tcPr>
                <w:p w14:paraId="799A6BF1">
                  <w:pPr>
                    <w:pStyle w:val="38"/>
                    <w:rPr>
                      <w:b/>
                      <w:bCs/>
                    </w:rPr>
                  </w:pPr>
                  <w:r>
                    <w:rPr>
                      <w:b/>
                      <w:bCs/>
                    </w:rPr>
                    <w:t>处理单元</w:t>
                  </w:r>
                </w:p>
              </w:tc>
              <w:tc>
                <w:tcPr>
                  <w:tcW w:w="1582" w:type="dxa"/>
                  <w:vMerge w:val="restart"/>
                  <w:tcBorders>
                    <w:tl2br w:val="nil"/>
                    <w:tr2bl w:val="nil"/>
                  </w:tcBorders>
                  <w:noWrap/>
                  <w:vAlign w:val="center"/>
                </w:tcPr>
                <w:p w14:paraId="235293E6">
                  <w:pPr>
                    <w:pStyle w:val="38"/>
                    <w:rPr>
                      <w:b/>
                      <w:bCs/>
                    </w:rPr>
                  </w:pPr>
                  <w:r>
                    <w:rPr>
                      <w:b/>
                      <w:bCs/>
                    </w:rPr>
                    <w:t>构筑物</w:t>
                  </w:r>
                </w:p>
              </w:tc>
              <w:tc>
                <w:tcPr>
                  <w:tcW w:w="832" w:type="dxa"/>
                  <w:vMerge w:val="restart"/>
                  <w:tcBorders>
                    <w:tl2br w:val="nil"/>
                    <w:tr2bl w:val="nil"/>
                  </w:tcBorders>
                  <w:noWrap/>
                  <w:vAlign w:val="center"/>
                </w:tcPr>
                <w:p w14:paraId="7BF42492">
                  <w:pPr>
                    <w:pStyle w:val="38"/>
                    <w:rPr>
                      <w:b/>
                      <w:bCs/>
                    </w:rPr>
                  </w:pPr>
                  <w:r>
                    <w:rPr>
                      <w:b/>
                      <w:bCs/>
                    </w:rPr>
                    <w:t>面积</w:t>
                  </w:r>
                </w:p>
                <w:p w14:paraId="373AD80A">
                  <w:pPr>
                    <w:pStyle w:val="38"/>
                    <w:rPr>
                      <w:b/>
                      <w:bCs/>
                    </w:rPr>
                  </w:pPr>
                  <w:r>
                    <w:rPr>
                      <w:b/>
                      <w:bCs/>
                    </w:rPr>
                    <w:t>（</w:t>
                  </w:r>
                  <w:r>
                    <w:t>m</w:t>
                  </w:r>
                  <w:r>
                    <w:rPr>
                      <w:vertAlign w:val="superscript"/>
                    </w:rPr>
                    <w:t>2</w:t>
                  </w:r>
                  <w:r>
                    <w:rPr>
                      <w:rFonts w:hint="eastAsia"/>
                      <w:b/>
                      <w:bCs/>
                    </w:rPr>
                    <w:t>）</w:t>
                  </w:r>
                </w:p>
              </w:tc>
              <w:tc>
                <w:tcPr>
                  <w:tcW w:w="2290" w:type="dxa"/>
                  <w:gridSpan w:val="2"/>
                  <w:tcBorders>
                    <w:tl2br w:val="nil"/>
                    <w:tr2bl w:val="nil"/>
                  </w:tcBorders>
                  <w:noWrap/>
                  <w:vAlign w:val="center"/>
                </w:tcPr>
                <w:p w14:paraId="75801B2A">
                  <w:pPr>
                    <w:pStyle w:val="38"/>
                    <w:rPr>
                      <w:b/>
                      <w:bCs/>
                    </w:rPr>
                  </w:pPr>
                  <w:r>
                    <w:rPr>
                      <w:b/>
                      <w:bCs/>
                    </w:rPr>
                    <w:t>产生速率（kg/h）</w:t>
                  </w:r>
                </w:p>
              </w:tc>
              <w:tc>
                <w:tcPr>
                  <w:tcW w:w="2290" w:type="dxa"/>
                  <w:gridSpan w:val="2"/>
                  <w:tcBorders>
                    <w:tl2br w:val="nil"/>
                    <w:tr2bl w:val="nil"/>
                  </w:tcBorders>
                  <w:noWrap/>
                  <w:vAlign w:val="center"/>
                </w:tcPr>
                <w:p w14:paraId="028D02B8">
                  <w:pPr>
                    <w:pStyle w:val="38"/>
                    <w:rPr>
                      <w:b/>
                      <w:bCs/>
                    </w:rPr>
                  </w:pPr>
                  <w:r>
                    <w:rPr>
                      <w:b/>
                      <w:bCs/>
                    </w:rPr>
                    <w:t>产生量（t/a）</w:t>
                  </w:r>
                </w:p>
              </w:tc>
            </w:tr>
            <w:tr w14:paraId="7E6155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4" w:type="dxa"/>
                  <w:vMerge w:val="continue"/>
                  <w:tcBorders>
                    <w:tl2br w:val="nil"/>
                    <w:tr2bl w:val="nil"/>
                  </w:tcBorders>
                  <w:noWrap/>
                  <w:vAlign w:val="center"/>
                </w:tcPr>
                <w:p w14:paraId="08D283FF">
                  <w:pPr>
                    <w:pStyle w:val="38"/>
                    <w:rPr>
                      <w:b/>
                      <w:bCs/>
                    </w:rPr>
                  </w:pPr>
                </w:p>
              </w:tc>
              <w:tc>
                <w:tcPr>
                  <w:tcW w:w="859" w:type="dxa"/>
                  <w:vMerge w:val="continue"/>
                  <w:tcBorders>
                    <w:tl2br w:val="nil"/>
                    <w:tr2bl w:val="nil"/>
                  </w:tcBorders>
                  <w:noWrap/>
                  <w:vAlign w:val="center"/>
                </w:tcPr>
                <w:p w14:paraId="2EB4243A">
                  <w:pPr>
                    <w:pStyle w:val="38"/>
                    <w:rPr>
                      <w:b/>
                      <w:bCs/>
                    </w:rPr>
                  </w:pPr>
                </w:p>
              </w:tc>
              <w:tc>
                <w:tcPr>
                  <w:tcW w:w="1582" w:type="dxa"/>
                  <w:vMerge w:val="continue"/>
                  <w:tcBorders>
                    <w:tl2br w:val="nil"/>
                    <w:tr2bl w:val="nil"/>
                  </w:tcBorders>
                  <w:noWrap/>
                  <w:vAlign w:val="center"/>
                </w:tcPr>
                <w:p w14:paraId="61AA1C89">
                  <w:pPr>
                    <w:pStyle w:val="38"/>
                    <w:rPr>
                      <w:b/>
                      <w:bCs/>
                    </w:rPr>
                  </w:pPr>
                </w:p>
              </w:tc>
              <w:tc>
                <w:tcPr>
                  <w:tcW w:w="832" w:type="dxa"/>
                  <w:vMerge w:val="continue"/>
                  <w:tcBorders>
                    <w:tl2br w:val="nil"/>
                    <w:tr2bl w:val="nil"/>
                  </w:tcBorders>
                  <w:noWrap/>
                  <w:vAlign w:val="center"/>
                </w:tcPr>
                <w:p w14:paraId="6F1EAFD4">
                  <w:pPr>
                    <w:pStyle w:val="38"/>
                    <w:rPr>
                      <w:b/>
                      <w:bCs/>
                    </w:rPr>
                  </w:pPr>
                </w:p>
              </w:tc>
              <w:tc>
                <w:tcPr>
                  <w:tcW w:w="1145" w:type="dxa"/>
                  <w:tcBorders>
                    <w:tl2br w:val="nil"/>
                    <w:tr2bl w:val="nil"/>
                  </w:tcBorders>
                  <w:noWrap/>
                  <w:vAlign w:val="center"/>
                </w:tcPr>
                <w:p w14:paraId="4D8059B0">
                  <w:pPr>
                    <w:pStyle w:val="38"/>
                    <w:rPr>
                      <w:b/>
                      <w:bCs/>
                    </w:rPr>
                  </w:pPr>
                  <w:r>
                    <w:t>NH</w:t>
                  </w:r>
                  <w:r>
                    <w:rPr>
                      <w:vertAlign w:val="subscript"/>
                    </w:rPr>
                    <w:t>3</w:t>
                  </w:r>
                </w:p>
              </w:tc>
              <w:tc>
                <w:tcPr>
                  <w:tcW w:w="1145" w:type="dxa"/>
                  <w:tcBorders>
                    <w:tl2br w:val="nil"/>
                    <w:tr2bl w:val="nil"/>
                  </w:tcBorders>
                  <w:noWrap/>
                  <w:vAlign w:val="center"/>
                </w:tcPr>
                <w:p w14:paraId="06F7A738">
                  <w:pPr>
                    <w:pStyle w:val="38"/>
                    <w:rPr>
                      <w:b/>
                      <w:bCs/>
                    </w:rPr>
                  </w:pPr>
                  <w:r>
                    <w:t>H</w:t>
                  </w:r>
                  <w:r>
                    <w:rPr>
                      <w:vertAlign w:val="subscript"/>
                    </w:rPr>
                    <w:t>2</w:t>
                  </w:r>
                  <w:r>
                    <w:t>S</w:t>
                  </w:r>
                </w:p>
              </w:tc>
              <w:tc>
                <w:tcPr>
                  <w:tcW w:w="1145" w:type="dxa"/>
                  <w:tcBorders>
                    <w:tl2br w:val="nil"/>
                    <w:tr2bl w:val="nil"/>
                  </w:tcBorders>
                  <w:noWrap/>
                  <w:vAlign w:val="center"/>
                </w:tcPr>
                <w:p w14:paraId="38A12285">
                  <w:pPr>
                    <w:pStyle w:val="38"/>
                    <w:rPr>
                      <w:b/>
                      <w:bCs/>
                    </w:rPr>
                  </w:pPr>
                  <w:r>
                    <w:t>NH</w:t>
                  </w:r>
                  <w:r>
                    <w:rPr>
                      <w:vertAlign w:val="subscript"/>
                    </w:rPr>
                    <w:t>3</w:t>
                  </w:r>
                </w:p>
              </w:tc>
              <w:tc>
                <w:tcPr>
                  <w:tcW w:w="1145" w:type="dxa"/>
                  <w:tcBorders>
                    <w:tl2br w:val="nil"/>
                    <w:tr2bl w:val="nil"/>
                  </w:tcBorders>
                  <w:noWrap/>
                  <w:vAlign w:val="center"/>
                </w:tcPr>
                <w:p w14:paraId="5E804D66">
                  <w:pPr>
                    <w:pStyle w:val="38"/>
                    <w:rPr>
                      <w:b/>
                      <w:bCs/>
                    </w:rPr>
                  </w:pPr>
                  <w:r>
                    <w:t>H</w:t>
                  </w:r>
                  <w:r>
                    <w:rPr>
                      <w:vertAlign w:val="subscript"/>
                    </w:rPr>
                    <w:t>2</w:t>
                  </w:r>
                  <w:r>
                    <w:t>S</w:t>
                  </w:r>
                </w:p>
              </w:tc>
            </w:tr>
            <w:tr w14:paraId="64946E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4" w:type="dxa"/>
                  <w:vMerge w:val="restart"/>
                  <w:tcBorders>
                    <w:tl2br w:val="nil"/>
                    <w:tr2bl w:val="nil"/>
                  </w:tcBorders>
                  <w:noWrap/>
                  <w:vAlign w:val="center"/>
                </w:tcPr>
                <w:p w14:paraId="4342E3AB">
                  <w:pPr>
                    <w:pStyle w:val="38"/>
                    <w:rPr>
                      <w:rFonts w:hint="eastAsia" w:eastAsia="宋体"/>
                      <w:lang w:eastAsia="zh-CN"/>
                    </w:rPr>
                  </w:pPr>
                  <w:r>
                    <w:rPr>
                      <w:rFonts w:hint="eastAsia"/>
                      <w:lang w:eastAsia="zh-CN"/>
                    </w:rPr>
                    <w:t>宁都县青塘镇污水处理厂工程</w:t>
                  </w:r>
                </w:p>
              </w:tc>
              <w:tc>
                <w:tcPr>
                  <w:tcW w:w="859" w:type="dxa"/>
                  <w:vMerge w:val="restart"/>
                  <w:tcBorders>
                    <w:tl2br w:val="nil"/>
                    <w:tr2bl w:val="nil"/>
                  </w:tcBorders>
                  <w:noWrap/>
                  <w:vAlign w:val="center"/>
                </w:tcPr>
                <w:p w14:paraId="289039C0">
                  <w:pPr>
                    <w:pStyle w:val="38"/>
                  </w:pPr>
                  <w:r>
                    <w:t>预处理单元</w:t>
                  </w:r>
                </w:p>
              </w:tc>
              <w:tc>
                <w:tcPr>
                  <w:tcW w:w="1582" w:type="dxa"/>
                  <w:tcBorders>
                    <w:tl2br w:val="nil"/>
                    <w:tr2bl w:val="nil"/>
                  </w:tcBorders>
                  <w:noWrap/>
                  <w:vAlign w:val="center"/>
                </w:tcPr>
                <w:p w14:paraId="0B3B25AD">
                  <w:pPr>
                    <w:pStyle w:val="38"/>
                  </w:pPr>
                  <w:r>
                    <w:rPr>
                      <w:rFonts w:hint="eastAsia"/>
                    </w:rPr>
                    <w:t>格栅</w:t>
                  </w:r>
                </w:p>
              </w:tc>
              <w:tc>
                <w:tcPr>
                  <w:tcW w:w="832" w:type="dxa"/>
                  <w:tcBorders>
                    <w:tl2br w:val="nil"/>
                    <w:tr2bl w:val="nil"/>
                  </w:tcBorders>
                  <w:noWrap/>
                  <w:vAlign w:val="center"/>
                </w:tcPr>
                <w:p w14:paraId="61379E50">
                  <w:pPr>
                    <w:pStyle w:val="38"/>
                    <w:rPr>
                      <w:rFonts w:hint="eastAsia" w:eastAsia="宋体"/>
                      <w:lang w:eastAsia="zh-CN"/>
                    </w:rPr>
                  </w:pPr>
                  <w:r>
                    <w:rPr>
                      <w:rFonts w:hint="eastAsia"/>
                      <w:lang w:val="en-US" w:eastAsia="zh-CN"/>
                    </w:rPr>
                    <w:t>2</w:t>
                  </w:r>
                </w:p>
              </w:tc>
              <w:tc>
                <w:tcPr>
                  <w:tcW w:w="1145" w:type="dxa"/>
                  <w:tcBorders>
                    <w:tl2br w:val="nil"/>
                    <w:tr2bl w:val="nil"/>
                  </w:tcBorders>
                  <w:noWrap/>
                  <w:vAlign w:val="center"/>
                </w:tcPr>
                <w:p w14:paraId="7571BE4A">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0.0007 </w:t>
                  </w:r>
                </w:p>
              </w:tc>
              <w:tc>
                <w:tcPr>
                  <w:tcW w:w="1145" w:type="dxa"/>
                  <w:tcBorders>
                    <w:tl2br w:val="nil"/>
                    <w:tr2bl w:val="nil"/>
                  </w:tcBorders>
                  <w:noWrap/>
                  <w:vAlign w:val="center"/>
                </w:tcPr>
                <w:p w14:paraId="607E0376">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0.000008 </w:t>
                  </w:r>
                </w:p>
              </w:tc>
              <w:tc>
                <w:tcPr>
                  <w:tcW w:w="1145" w:type="dxa"/>
                  <w:tcBorders>
                    <w:tl2br w:val="nil"/>
                    <w:tr2bl w:val="nil"/>
                  </w:tcBorders>
                  <w:noWrap/>
                  <w:vAlign w:val="center"/>
                </w:tcPr>
                <w:p w14:paraId="1720874D">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0.0058 </w:t>
                  </w:r>
                </w:p>
              </w:tc>
              <w:tc>
                <w:tcPr>
                  <w:tcW w:w="1145" w:type="dxa"/>
                  <w:tcBorders>
                    <w:tl2br w:val="nil"/>
                    <w:tr2bl w:val="nil"/>
                  </w:tcBorders>
                  <w:noWrap/>
                  <w:vAlign w:val="center"/>
                </w:tcPr>
                <w:p w14:paraId="3A9F8DD8">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0.000067 </w:t>
                  </w:r>
                </w:p>
              </w:tc>
            </w:tr>
            <w:tr w14:paraId="437539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4" w:type="dxa"/>
                  <w:vMerge w:val="continue"/>
                  <w:tcBorders>
                    <w:tl2br w:val="nil"/>
                    <w:tr2bl w:val="nil"/>
                  </w:tcBorders>
                  <w:noWrap/>
                  <w:vAlign w:val="center"/>
                </w:tcPr>
                <w:p w14:paraId="01505DB1">
                  <w:pPr>
                    <w:pStyle w:val="38"/>
                  </w:pPr>
                </w:p>
              </w:tc>
              <w:tc>
                <w:tcPr>
                  <w:tcW w:w="859" w:type="dxa"/>
                  <w:vMerge w:val="continue"/>
                  <w:tcBorders>
                    <w:tl2br w:val="nil"/>
                    <w:tr2bl w:val="nil"/>
                  </w:tcBorders>
                  <w:noWrap/>
                  <w:vAlign w:val="center"/>
                </w:tcPr>
                <w:p w14:paraId="5968DDFF">
                  <w:pPr>
                    <w:pStyle w:val="38"/>
                  </w:pPr>
                </w:p>
              </w:tc>
              <w:tc>
                <w:tcPr>
                  <w:tcW w:w="1582" w:type="dxa"/>
                  <w:tcBorders>
                    <w:tl2br w:val="nil"/>
                    <w:tr2bl w:val="nil"/>
                  </w:tcBorders>
                  <w:noWrap/>
                  <w:vAlign w:val="center"/>
                </w:tcPr>
                <w:p w14:paraId="39957878">
                  <w:pPr>
                    <w:pStyle w:val="38"/>
                  </w:pPr>
                  <w:r>
                    <w:rPr>
                      <w:rFonts w:hint="eastAsia"/>
                    </w:rPr>
                    <w:t>集水井</w:t>
                  </w:r>
                </w:p>
              </w:tc>
              <w:tc>
                <w:tcPr>
                  <w:tcW w:w="832" w:type="dxa"/>
                  <w:tcBorders>
                    <w:tl2br w:val="nil"/>
                    <w:tr2bl w:val="nil"/>
                  </w:tcBorders>
                  <w:noWrap/>
                  <w:vAlign w:val="center"/>
                </w:tcPr>
                <w:p w14:paraId="0529CE38">
                  <w:pPr>
                    <w:pStyle w:val="38"/>
                    <w:rPr>
                      <w:rFonts w:hint="eastAsia" w:eastAsia="宋体"/>
                      <w:lang w:eastAsia="zh-CN"/>
                    </w:rPr>
                  </w:pPr>
                  <w:r>
                    <w:rPr>
                      <w:rFonts w:hint="eastAsia"/>
                      <w:lang w:val="en-US" w:eastAsia="zh-CN"/>
                    </w:rPr>
                    <w:t>1</w:t>
                  </w:r>
                </w:p>
              </w:tc>
              <w:tc>
                <w:tcPr>
                  <w:tcW w:w="1145" w:type="dxa"/>
                  <w:tcBorders>
                    <w:tl2br w:val="nil"/>
                    <w:tr2bl w:val="nil"/>
                  </w:tcBorders>
                  <w:noWrap/>
                  <w:vAlign w:val="center"/>
                </w:tcPr>
                <w:p w14:paraId="61BF6EAA">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c>
                <w:tcPr>
                  <w:tcW w:w="1145" w:type="dxa"/>
                  <w:tcBorders>
                    <w:tl2br w:val="nil"/>
                    <w:tr2bl w:val="nil"/>
                  </w:tcBorders>
                  <w:noWrap/>
                  <w:vAlign w:val="center"/>
                </w:tcPr>
                <w:p w14:paraId="05287480">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0.000004 </w:t>
                  </w:r>
                </w:p>
              </w:tc>
              <w:tc>
                <w:tcPr>
                  <w:tcW w:w="1145" w:type="dxa"/>
                  <w:tcBorders>
                    <w:tl2br w:val="nil"/>
                    <w:tr2bl w:val="nil"/>
                  </w:tcBorders>
                  <w:noWrap/>
                  <w:vAlign w:val="center"/>
                </w:tcPr>
                <w:p w14:paraId="04D6E791">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0.0029 </w:t>
                  </w:r>
                </w:p>
              </w:tc>
              <w:tc>
                <w:tcPr>
                  <w:tcW w:w="1145" w:type="dxa"/>
                  <w:tcBorders>
                    <w:tl2br w:val="nil"/>
                    <w:tr2bl w:val="nil"/>
                  </w:tcBorders>
                  <w:noWrap/>
                  <w:vAlign w:val="center"/>
                </w:tcPr>
                <w:p w14:paraId="4017FBC0">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0.000034 </w:t>
                  </w:r>
                </w:p>
              </w:tc>
            </w:tr>
            <w:tr w14:paraId="7A075C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4" w:type="dxa"/>
                  <w:vMerge w:val="continue"/>
                  <w:tcBorders>
                    <w:tl2br w:val="nil"/>
                    <w:tr2bl w:val="nil"/>
                  </w:tcBorders>
                  <w:noWrap/>
                  <w:vAlign w:val="center"/>
                </w:tcPr>
                <w:p w14:paraId="1061D810">
                  <w:pPr>
                    <w:pStyle w:val="38"/>
                  </w:pPr>
                </w:p>
              </w:tc>
              <w:tc>
                <w:tcPr>
                  <w:tcW w:w="859" w:type="dxa"/>
                  <w:vMerge w:val="continue"/>
                  <w:tcBorders>
                    <w:tl2br w:val="nil"/>
                    <w:tr2bl w:val="nil"/>
                  </w:tcBorders>
                  <w:noWrap/>
                  <w:vAlign w:val="center"/>
                </w:tcPr>
                <w:p w14:paraId="7B975B98">
                  <w:pPr>
                    <w:pStyle w:val="38"/>
                  </w:pPr>
                </w:p>
              </w:tc>
              <w:tc>
                <w:tcPr>
                  <w:tcW w:w="1582" w:type="dxa"/>
                  <w:tcBorders>
                    <w:tl2br w:val="nil"/>
                    <w:tr2bl w:val="nil"/>
                  </w:tcBorders>
                  <w:noWrap/>
                  <w:vAlign w:val="center"/>
                </w:tcPr>
                <w:p w14:paraId="67D0B1D1">
                  <w:pPr>
                    <w:pStyle w:val="38"/>
                  </w:pPr>
                  <w:r>
                    <w:rPr>
                      <w:rFonts w:hint="eastAsia"/>
                    </w:rPr>
                    <w:t>调节池</w:t>
                  </w:r>
                </w:p>
              </w:tc>
              <w:tc>
                <w:tcPr>
                  <w:tcW w:w="832" w:type="dxa"/>
                  <w:tcBorders>
                    <w:tl2br w:val="nil"/>
                    <w:tr2bl w:val="nil"/>
                  </w:tcBorders>
                  <w:noWrap/>
                  <w:vAlign w:val="center"/>
                </w:tcPr>
                <w:p w14:paraId="26DA6095">
                  <w:pPr>
                    <w:pStyle w:val="38"/>
                    <w:rPr>
                      <w:rFonts w:hint="default" w:eastAsia="宋体"/>
                      <w:lang w:val="en-US" w:eastAsia="zh-CN"/>
                    </w:rPr>
                  </w:pPr>
                  <w:r>
                    <w:rPr>
                      <w:rFonts w:hint="eastAsia"/>
                      <w:lang w:val="en-US" w:eastAsia="zh-CN"/>
                    </w:rPr>
                    <w:t>6.4</w:t>
                  </w:r>
                </w:p>
              </w:tc>
              <w:tc>
                <w:tcPr>
                  <w:tcW w:w="1145" w:type="dxa"/>
                  <w:tcBorders>
                    <w:tl2br w:val="nil"/>
                    <w:tr2bl w:val="nil"/>
                  </w:tcBorders>
                  <w:noWrap/>
                  <w:vAlign w:val="center"/>
                </w:tcPr>
                <w:p w14:paraId="7B5D433C">
                  <w:pPr>
                    <w:pStyle w:val="38"/>
                    <w:bidi w:val="0"/>
                  </w:pPr>
                  <w:r>
                    <w:rPr>
                      <w:rFonts w:hint="default"/>
                      <w:lang w:val="en-US" w:eastAsia="zh-CN"/>
                    </w:rPr>
                    <w:t xml:space="preserve">0.0021 </w:t>
                  </w:r>
                </w:p>
              </w:tc>
              <w:tc>
                <w:tcPr>
                  <w:tcW w:w="1145" w:type="dxa"/>
                  <w:tcBorders>
                    <w:tl2br w:val="nil"/>
                    <w:tr2bl w:val="nil"/>
                  </w:tcBorders>
                  <w:noWrap/>
                  <w:vAlign w:val="center"/>
                </w:tcPr>
                <w:p w14:paraId="617C0AF1">
                  <w:pPr>
                    <w:pStyle w:val="38"/>
                    <w:bidi w:val="0"/>
                  </w:pPr>
                  <w:r>
                    <w:rPr>
                      <w:rFonts w:hint="default"/>
                      <w:lang w:val="en-US" w:eastAsia="zh-CN"/>
                    </w:rPr>
                    <w:t xml:space="preserve">0.000025 </w:t>
                  </w:r>
                </w:p>
              </w:tc>
              <w:tc>
                <w:tcPr>
                  <w:tcW w:w="1145" w:type="dxa"/>
                  <w:tcBorders>
                    <w:tl2br w:val="nil"/>
                    <w:tr2bl w:val="nil"/>
                  </w:tcBorders>
                  <w:noWrap/>
                  <w:vAlign w:val="center"/>
                </w:tcPr>
                <w:p w14:paraId="27A48C23">
                  <w:pPr>
                    <w:pStyle w:val="38"/>
                    <w:bidi w:val="0"/>
                  </w:pPr>
                  <w:r>
                    <w:rPr>
                      <w:rFonts w:hint="default"/>
                      <w:lang w:val="en-US" w:eastAsia="zh-CN"/>
                    </w:rPr>
                    <w:t xml:space="preserve">0.0186 </w:t>
                  </w:r>
                </w:p>
              </w:tc>
              <w:tc>
                <w:tcPr>
                  <w:tcW w:w="1145" w:type="dxa"/>
                  <w:tcBorders>
                    <w:tl2br w:val="nil"/>
                    <w:tr2bl w:val="nil"/>
                  </w:tcBorders>
                  <w:noWrap/>
                  <w:vAlign w:val="center"/>
                </w:tcPr>
                <w:p w14:paraId="2B5DCCD0">
                  <w:pPr>
                    <w:pStyle w:val="38"/>
                    <w:bidi w:val="0"/>
                  </w:pPr>
                  <w:r>
                    <w:rPr>
                      <w:rFonts w:hint="default"/>
                      <w:lang w:val="en-US" w:eastAsia="zh-CN"/>
                    </w:rPr>
                    <w:t xml:space="preserve">0.000216 </w:t>
                  </w:r>
                </w:p>
              </w:tc>
            </w:tr>
            <w:tr w14:paraId="135056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4" w:type="dxa"/>
                  <w:vMerge w:val="continue"/>
                  <w:tcBorders>
                    <w:tl2br w:val="nil"/>
                    <w:tr2bl w:val="nil"/>
                  </w:tcBorders>
                  <w:noWrap/>
                  <w:vAlign w:val="center"/>
                </w:tcPr>
                <w:p w14:paraId="1CE52EEC">
                  <w:pPr>
                    <w:pStyle w:val="38"/>
                  </w:pPr>
                </w:p>
              </w:tc>
              <w:tc>
                <w:tcPr>
                  <w:tcW w:w="859" w:type="dxa"/>
                  <w:tcBorders>
                    <w:tl2br w:val="nil"/>
                    <w:tr2bl w:val="nil"/>
                  </w:tcBorders>
                  <w:noWrap/>
                  <w:vAlign w:val="center"/>
                </w:tcPr>
                <w:p w14:paraId="3663F889">
                  <w:pPr>
                    <w:pStyle w:val="38"/>
                  </w:pPr>
                  <w:r>
                    <w:t>生化处理单元</w:t>
                  </w:r>
                </w:p>
              </w:tc>
              <w:tc>
                <w:tcPr>
                  <w:tcW w:w="1582" w:type="dxa"/>
                  <w:tcBorders>
                    <w:tl2br w:val="nil"/>
                    <w:tr2bl w:val="nil"/>
                  </w:tcBorders>
                  <w:noWrap/>
                  <w:vAlign w:val="center"/>
                </w:tcPr>
                <w:p w14:paraId="226C7688">
                  <w:pPr>
                    <w:pStyle w:val="38"/>
                  </w:pPr>
                  <w:r>
                    <w:rPr>
                      <w:rFonts w:hint="eastAsia"/>
                    </w:rPr>
                    <w:t>生物反应池</w:t>
                  </w:r>
                </w:p>
              </w:tc>
              <w:tc>
                <w:tcPr>
                  <w:tcW w:w="832" w:type="dxa"/>
                  <w:tcBorders>
                    <w:tl2br w:val="nil"/>
                    <w:tr2bl w:val="nil"/>
                  </w:tcBorders>
                  <w:noWrap/>
                  <w:vAlign w:val="center"/>
                </w:tcPr>
                <w:p w14:paraId="48289DCA">
                  <w:pPr>
                    <w:pStyle w:val="38"/>
                    <w:rPr>
                      <w:rFonts w:hint="default" w:eastAsia="宋体"/>
                      <w:lang w:val="en-US" w:eastAsia="zh-CN"/>
                    </w:rPr>
                  </w:pPr>
                  <w:r>
                    <w:rPr>
                      <w:rFonts w:hint="eastAsia"/>
                      <w:lang w:val="en-US" w:eastAsia="zh-CN"/>
                    </w:rPr>
                    <w:t>11</w:t>
                  </w:r>
                </w:p>
              </w:tc>
              <w:tc>
                <w:tcPr>
                  <w:tcW w:w="1145" w:type="dxa"/>
                  <w:tcBorders>
                    <w:tl2br w:val="nil"/>
                    <w:tr2bl w:val="nil"/>
                  </w:tcBorders>
                  <w:noWrap/>
                  <w:vAlign w:val="center"/>
                </w:tcPr>
                <w:p w14:paraId="73640F66">
                  <w:pPr>
                    <w:pStyle w:val="38"/>
                    <w:bidi w:val="0"/>
                  </w:pPr>
                  <w:r>
                    <w:rPr>
                      <w:rFonts w:hint="default"/>
                      <w:lang w:val="en-US" w:eastAsia="zh-CN"/>
                    </w:rPr>
                    <w:t xml:space="preserve">0.0003 </w:t>
                  </w:r>
                </w:p>
              </w:tc>
              <w:tc>
                <w:tcPr>
                  <w:tcW w:w="1145" w:type="dxa"/>
                  <w:tcBorders>
                    <w:tl2br w:val="nil"/>
                    <w:tr2bl w:val="nil"/>
                  </w:tcBorders>
                  <w:noWrap/>
                  <w:vAlign w:val="center"/>
                </w:tcPr>
                <w:p w14:paraId="6BB3335E">
                  <w:pPr>
                    <w:pStyle w:val="38"/>
                    <w:bidi w:val="0"/>
                  </w:pPr>
                  <w:r>
                    <w:rPr>
                      <w:rFonts w:hint="default"/>
                      <w:lang w:val="en-US" w:eastAsia="zh-CN"/>
                    </w:rPr>
                    <w:t xml:space="preserve">0.000010 </w:t>
                  </w:r>
                </w:p>
              </w:tc>
              <w:tc>
                <w:tcPr>
                  <w:tcW w:w="1145" w:type="dxa"/>
                  <w:tcBorders>
                    <w:tl2br w:val="nil"/>
                    <w:tr2bl w:val="nil"/>
                  </w:tcBorders>
                  <w:noWrap/>
                  <w:vAlign w:val="center"/>
                </w:tcPr>
                <w:p w14:paraId="04D92273">
                  <w:pPr>
                    <w:pStyle w:val="38"/>
                    <w:bidi w:val="0"/>
                  </w:pPr>
                  <w:r>
                    <w:rPr>
                      <w:rFonts w:hint="default"/>
                      <w:lang w:val="en-US" w:eastAsia="zh-CN"/>
                    </w:rPr>
                    <w:t xml:space="preserve">0.0024 </w:t>
                  </w:r>
                </w:p>
              </w:tc>
              <w:tc>
                <w:tcPr>
                  <w:tcW w:w="1145" w:type="dxa"/>
                  <w:tcBorders>
                    <w:tl2br w:val="nil"/>
                    <w:tr2bl w:val="nil"/>
                  </w:tcBorders>
                  <w:noWrap/>
                  <w:vAlign w:val="center"/>
                </w:tcPr>
                <w:p w14:paraId="1B3115CD">
                  <w:pPr>
                    <w:pStyle w:val="38"/>
                    <w:bidi w:val="0"/>
                  </w:pPr>
                  <w:r>
                    <w:rPr>
                      <w:rFonts w:hint="default"/>
                      <w:lang w:val="en-US" w:eastAsia="zh-CN"/>
                    </w:rPr>
                    <w:t xml:space="preserve">0.000090 </w:t>
                  </w:r>
                </w:p>
              </w:tc>
            </w:tr>
            <w:tr w14:paraId="465618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4" w:type="dxa"/>
                  <w:vMerge w:val="continue"/>
                  <w:tcBorders>
                    <w:tl2br w:val="nil"/>
                    <w:tr2bl w:val="nil"/>
                  </w:tcBorders>
                  <w:noWrap/>
                  <w:vAlign w:val="center"/>
                </w:tcPr>
                <w:p w14:paraId="221BDC24">
                  <w:pPr>
                    <w:pStyle w:val="38"/>
                  </w:pPr>
                </w:p>
              </w:tc>
              <w:tc>
                <w:tcPr>
                  <w:tcW w:w="859" w:type="dxa"/>
                  <w:vMerge w:val="restart"/>
                  <w:tcBorders>
                    <w:tl2br w:val="nil"/>
                    <w:tr2bl w:val="nil"/>
                  </w:tcBorders>
                  <w:noWrap/>
                  <w:vAlign w:val="center"/>
                </w:tcPr>
                <w:p w14:paraId="5F3A951E">
                  <w:pPr>
                    <w:pStyle w:val="38"/>
                  </w:pPr>
                  <w:r>
                    <w:t>污泥处理单元</w:t>
                  </w:r>
                </w:p>
              </w:tc>
              <w:tc>
                <w:tcPr>
                  <w:tcW w:w="1582" w:type="dxa"/>
                  <w:tcBorders>
                    <w:tl2br w:val="nil"/>
                    <w:tr2bl w:val="nil"/>
                  </w:tcBorders>
                  <w:noWrap/>
                  <w:vAlign w:val="center"/>
                </w:tcPr>
                <w:p w14:paraId="10D5E09E">
                  <w:pPr>
                    <w:pStyle w:val="38"/>
                  </w:pPr>
                  <w:r>
                    <w:rPr>
                      <w:rFonts w:hint="eastAsia"/>
                    </w:rPr>
                    <w:t>MBR膜池</w:t>
                  </w:r>
                </w:p>
              </w:tc>
              <w:tc>
                <w:tcPr>
                  <w:tcW w:w="832" w:type="dxa"/>
                  <w:tcBorders>
                    <w:tl2br w:val="nil"/>
                    <w:tr2bl w:val="nil"/>
                  </w:tcBorders>
                  <w:noWrap/>
                  <w:vAlign w:val="center"/>
                </w:tcPr>
                <w:p w14:paraId="746094F9">
                  <w:pPr>
                    <w:pStyle w:val="38"/>
                    <w:rPr>
                      <w:rFonts w:hint="default" w:eastAsia="宋体"/>
                      <w:lang w:val="en-US" w:eastAsia="zh-CN"/>
                    </w:rPr>
                  </w:pPr>
                  <w:r>
                    <w:rPr>
                      <w:rFonts w:hint="eastAsia"/>
                      <w:lang w:val="en-US" w:eastAsia="zh-CN"/>
                    </w:rPr>
                    <w:t>21</w:t>
                  </w:r>
                </w:p>
              </w:tc>
              <w:tc>
                <w:tcPr>
                  <w:tcW w:w="1145" w:type="dxa"/>
                  <w:tcBorders>
                    <w:tl2br w:val="nil"/>
                    <w:tr2bl w:val="nil"/>
                  </w:tcBorders>
                  <w:noWrap/>
                  <w:vAlign w:val="center"/>
                </w:tcPr>
                <w:p w14:paraId="367EF4F4">
                  <w:pPr>
                    <w:pStyle w:val="38"/>
                    <w:bidi w:val="0"/>
                  </w:pPr>
                  <w:r>
                    <w:rPr>
                      <w:rFonts w:hint="default"/>
                      <w:lang w:val="en-US" w:eastAsia="zh-CN"/>
                    </w:rPr>
                    <w:t xml:space="preserve">0.0064 </w:t>
                  </w:r>
                </w:p>
              </w:tc>
              <w:tc>
                <w:tcPr>
                  <w:tcW w:w="1145" w:type="dxa"/>
                  <w:tcBorders>
                    <w:tl2br w:val="nil"/>
                    <w:tr2bl w:val="nil"/>
                  </w:tcBorders>
                  <w:noWrap/>
                  <w:vAlign w:val="center"/>
                </w:tcPr>
                <w:p w14:paraId="7E95A3BC">
                  <w:pPr>
                    <w:pStyle w:val="38"/>
                    <w:bidi w:val="0"/>
                  </w:pPr>
                  <w:r>
                    <w:rPr>
                      <w:rFonts w:hint="default"/>
                      <w:lang w:val="en-US" w:eastAsia="zh-CN"/>
                    </w:rPr>
                    <w:t xml:space="preserve">0.000002 </w:t>
                  </w:r>
                </w:p>
              </w:tc>
              <w:tc>
                <w:tcPr>
                  <w:tcW w:w="1145" w:type="dxa"/>
                  <w:tcBorders>
                    <w:tl2br w:val="nil"/>
                    <w:tr2bl w:val="nil"/>
                  </w:tcBorders>
                  <w:noWrap/>
                  <w:vAlign w:val="center"/>
                </w:tcPr>
                <w:p w14:paraId="62F7A271">
                  <w:pPr>
                    <w:pStyle w:val="38"/>
                    <w:bidi w:val="0"/>
                  </w:pPr>
                  <w:r>
                    <w:rPr>
                      <w:rFonts w:hint="default"/>
                      <w:lang w:val="en-US" w:eastAsia="zh-CN"/>
                    </w:rPr>
                    <w:t xml:space="preserve">0.0563 </w:t>
                  </w:r>
                </w:p>
              </w:tc>
              <w:tc>
                <w:tcPr>
                  <w:tcW w:w="1145" w:type="dxa"/>
                  <w:tcBorders>
                    <w:tl2br w:val="nil"/>
                    <w:tr2bl w:val="nil"/>
                  </w:tcBorders>
                  <w:noWrap/>
                  <w:vAlign w:val="center"/>
                </w:tcPr>
                <w:p w14:paraId="69BB4C4D">
                  <w:pPr>
                    <w:pStyle w:val="38"/>
                    <w:bidi w:val="0"/>
                  </w:pPr>
                  <w:r>
                    <w:rPr>
                      <w:rFonts w:hint="default"/>
                      <w:lang w:val="en-US" w:eastAsia="zh-CN"/>
                    </w:rPr>
                    <w:t xml:space="preserve">0.000020 </w:t>
                  </w:r>
                </w:p>
              </w:tc>
            </w:tr>
            <w:tr w14:paraId="43E371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4" w:type="dxa"/>
                  <w:vMerge w:val="continue"/>
                  <w:tcBorders>
                    <w:tl2br w:val="nil"/>
                    <w:tr2bl w:val="nil"/>
                  </w:tcBorders>
                  <w:noWrap/>
                  <w:vAlign w:val="center"/>
                </w:tcPr>
                <w:p w14:paraId="13056AF2">
                  <w:pPr>
                    <w:pStyle w:val="38"/>
                  </w:pPr>
                </w:p>
              </w:tc>
              <w:tc>
                <w:tcPr>
                  <w:tcW w:w="859" w:type="dxa"/>
                  <w:vMerge w:val="continue"/>
                  <w:tcBorders>
                    <w:tl2br w:val="nil"/>
                    <w:tr2bl w:val="nil"/>
                  </w:tcBorders>
                  <w:noWrap/>
                  <w:vAlign w:val="center"/>
                </w:tcPr>
                <w:p w14:paraId="6A977F47">
                  <w:pPr>
                    <w:pStyle w:val="38"/>
                  </w:pPr>
                </w:p>
              </w:tc>
              <w:tc>
                <w:tcPr>
                  <w:tcW w:w="1582" w:type="dxa"/>
                  <w:tcBorders>
                    <w:tl2br w:val="nil"/>
                    <w:tr2bl w:val="nil"/>
                  </w:tcBorders>
                  <w:noWrap/>
                  <w:vAlign w:val="center"/>
                </w:tcPr>
                <w:p w14:paraId="00C2BB14">
                  <w:pPr>
                    <w:pStyle w:val="38"/>
                    <w:rPr>
                      <w:rFonts w:hint="eastAsia" w:eastAsia="宋体"/>
                      <w:lang w:val="en-US" w:eastAsia="zh-CN"/>
                    </w:rPr>
                  </w:pPr>
                  <w:r>
                    <w:rPr>
                      <w:rFonts w:hint="eastAsia"/>
                    </w:rPr>
                    <w:t>污泥脱水</w:t>
                  </w:r>
                  <w:r>
                    <w:rPr>
                      <w:rFonts w:hint="eastAsia"/>
                      <w:lang w:val="en-US" w:eastAsia="zh-CN"/>
                    </w:rPr>
                    <w:t>间</w:t>
                  </w:r>
                </w:p>
              </w:tc>
              <w:tc>
                <w:tcPr>
                  <w:tcW w:w="832" w:type="dxa"/>
                  <w:tcBorders>
                    <w:tl2br w:val="nil"/>
                    <w:tr2bl w:val="nil"/>
                  </w:tcBorders>
                  <w:noWrap/>
                  <w:vAlign w:val="center"/>
                </w:tcPr>
                <w:p w14:paraId="66455AC1">
                  <w:pPr>
                    <w:pStyle w:val="38"/>
                    <w:rPr>
                      <w:rFonts w:hint="default" w:eastAsia="宋体"/>
                      <w:lang w:val="en-US" w:eastAsia="zh-CN"/>
                    </w:rPr>
                  </w:pPr>
                  <w:r>
                    <w:rPr>
                      <w:rFonts w:hint="eastAsia"/>
                      <w:lang w:val="en-US" w:eastAsia="zh-CN"/>
                    </w:rPr>
                    <w:t>4.5</w:t>
                  </w:r>
                </w:p>
              </w:tc>
              <w:tc>
                <w:tcPr>
                  <w:tcW w:w="1145" w:type="dxa"/>
                  <w:tcBorders>
                    <w:tl2br w:val="nil"/>
                    <w:tr2bl w:val="nil"/>
                  </w:tcBorders>
                  <w:noWrap/>
                  <w:vAlign w:val="center"/>
                </w:tcPr>
                <w:p w14:paraId="23A1E930">
                  <w:pPr>
                    <w:pStyle w:val="38"/>
                    <w:bidi w:val="0"/>
                  </w:pPr>
                  <w:r>
                    <w:rPr>
                      <w:rFonts w:hint="default"/>
                      <w:lang w:val="en-US" w:eastAsia="zh-CN"/>
                    </w:rPr>
                    <w:t xml:space="preserve">0.0014 </w:t>
                  </w:r>
                </w:p>
              </w:tc>
              <w:tc>
                <w:tcPr>
                  <w:tcW w:w="1145" w:type="dxa"/>
                  <w:tcBorders>
                    <w:tl2br w:val="nil"/>
                    <w:tr2bl w:val="nil"/>
                  </w:tcBorders>
                  <w:noWrap/>
                  <w:vAlign w:val="center"/>
                </w:tcPr>
                <w:p w14:paraId="4ABAA5B9">
                  <w:pPr>
                    <w:pStyle w:val="38"/>
                    <w:bidi w:val="0"/>
                  </w:pPr>
                  <w:r>
                    <w:rPr>
                      <w:rFonts w:hint="default"/>
                      <w:lang w:val="en-US" w:eastAsia="zh-CN"/>
                    </w:rPr>
                    <w:t xml:space="preserve">0.000000 </w:t>
                  </w:r>
                </w:p>
              </w:tc>
              <w:tc>
                <w:tcPr>
                  <w:tcW w:w="1145" w:type="dxa"/>
                  <w:tcBorders>
                    <w:tl2br w:val="nil"/>
                    <w:tr2bl w:val="nil"/>
                  </w:tcBorders>
                  <w:noWrap/>
                  <w:vAlign w:val="center"/>
                </w:tcPr>
                <w:p w14:paraId="24240037">
                  <w:pPr>
                    <w:pStyle w:val="38"/>
                    <w:bidi w:val="0"/>
                  </w:pPr>
                  <w:r>
                    <w:rPr>
                      <w:rFonts w:hint="default"/>
                      <w:lang w:val="en-US" w:eastAsia="zh-CN"/>
                    </w:rPr>
                    <w:t xml:space="preserve">0.0121 </w:t>
                  </w:r>
                </w:p>
              </w:tc>
              <w:tc>
                <w:tcPr>
                  <w:tcW w:w="1145" w:type="dxa"/>
                  <w:tcBorders>
                    <w:tl2br w:val="nil"/>
                    <w:tr2bl w:val="nil"/>
                  </w:tcBorders>
                  <w:noWrap/>
                  <w:vAlign w:val="center"/>
                </w:tcPr>
                <w:p w14:paraId="6B6209BD">
                  <w:pPr>
                    <w:pStyle w:val="38"/>
                    <w:bidi w:val="0"/>
                  </w:pPr>
                  <w:r>
                    <w:rPr>
                      <w:rFonts w:hint="default"/>
                      <w:lang w:val="en-US" w:eastAsia="zh-CN"/>
                    </w:rPr>
                    <w:t xml:space="preserve">0.000004 </w:t>
                  </w:r>
                </w:p>
              </w:tc>
            </w:tr>
            <w:tr w14:paraId="499D22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4" w:type="dxa"/>
                  <w:vMerge w:val="continue"/>
                  <w:tcBorders>
                    <w:tl2br w:val="nil"/>
                    <w:tr2bl w:val="nil"/>
                  </w:tcBorders>
                  <w:noWrap/>
                  <w:vAlign w:val="center"/>
                </w:tcPr>
                <w:p w14:paraId="0904C473">
                  <w:pPr>
                    <w:pStyle w:val="38"/>
                  </w:pPr>
                </w:p>
              </w:tc>
              <w:tc>
                <w:tcPr>
                  <w:tcW w:w="3273" w:type="dxa"/>
                  <w:gridSpan w:val="3"/>
                  <w:tcBorders>
                    <w:tl2br w:val="nil"/>
                    <w:tr2bl w:val="nil"/>
                  </w:tcBorders>
                  <w:noWrap/>
                  <w:vAlign w:val="center"/>
                </w:tcPr>
                <w:p w14:paraId="6066211C">
                  <w:pPr>
                    <w:pStyle w:val="38"/>
                  </w:pPr>
                  <w:r>
                    <w:t>合计</w:t>
                  </w:r>
                </w:p>
              </w:tc>
              <w:tc>
                <w:tcPr>
                  <w:tcW w:w="1145" w:type="dxa"/>
                  <w:tcBorders>
                    <w:tl2br w:val="nil"/>
                    <w:tr2bl w:val="nil"/>
                  </w:tcBorders>
                  <w:noWrap/>
                  <w:vAlign w:val="center"/>
                </w:tcPr>
                <w:p w14:paraId="25BAABF5">
                  <w:pPr>
                    <w:pStyle w:val="38"/>
                    <w:bidi w:val="0"/>
                  </w:pPr>
                  <w:r>
                    <w:rPr>
                      <w:rFonts w:hint="default"/>
                      <w:lang w:val="en-US" w:eastAsia="zh-CN"/>
                    </w:rPr>
                    <w:t xml:space="preserve">0.0112 </w:t>
                  </w:r>
                </w:p>
              </w:tc>
              <w:tc>
                <w:tcPr>
                  <w:tcW w:w="1145" w:type="dxa"/>
                  <w:tcBorders>
                    <w:tl2br w:val="nil"/>
                    <w:tr2bl w:val="nil"/>
                  </w:tcBorders>
                  <w:noWrap/>
                  <w:vAlign w:val="center"/>
                </w:tcPr>
                <w:p w14:paraId="08FF643C">
                  <w:pPr>
                    <w:pStyle w:val="38"/>
                    <w:bidi w:val="0"/>
                  </w:pPr>
                  <w:r>
                    <w:rPr>
                      <w:rFonts w:hint="default"/>
                      <w:lang w:val="en-US" w:eastAsia="zh-CN"/>
                    </w:rPr>
                    <w:t xml:space="preserve">0.000049 </w:t>
                  </w:r>
                </w:p>
              </w:tc>
              <w:tc>
                <w:tcPr>
                  <w:tcW w:w="1145" w:type="dxa"/>
                  <w:tcBorders>
                    <w:tl2br w:val="nil"/>
                    <w:tr2bl w:val="nil"/>
                  </w:tcBorders>
                  <w:noWrap/>
                  <w:vAlign w:val="center"/>
                </w:tcPr>
                <w:p w14:paraId="1B8D1D1A">
                  <w:pPr>
                    <w:pStyle w:val="38"/>
                    <w:bidi w:val="0"/>
                  </w:pPr>
                  <w:r>
                    <w:rPr>
                      <w:rFonts w:hint="default"/>
                      <w:lang w:val="en-US" w:eastAsia="zh-CN"/>
                    </w:rPr>
                    <w:t xml:space="preserve">0.0981 </w:t>
                  </w:r>
                </w:p>
              </w:tc>
              <w:tc>
                <w:tcPr>
                  <w:tcW w:w="1145" w:type="dxa"/>
                  <w:tcBorders>
                    <w:tl2br w:val="nil"/>
                    <w:tr2bl w:val="nil"/>
                  </w:tcBorders>
                  <w:noWrap/>
                  <w:vAlign w:val="center"/>
                </w:tcPr>
                <w:p w14:paraId="30D6C07C">
                  <w:pPr>
                    <w:pStyle w:val="38"/>
                    <w:bidi w:val="0"/>
                  </w:pPr>
                  <w:r>
                    <w:rPr>
                      <w:rFonts w:hint="default"/>
                      <w:lang w:val="en-US" w:eastAsia="zh-CN"/>
                    </w:rPr>
                    <w:t xml:space="preserve">0.000431 </w:t>
                  </w:r>
                </w:p>
              </w:tc>
            </w:tr>
          </w:tbl>
          <w:p w14:paraId="53A73D98">
            <w:pPr>
              <w:pStyle w:val="36"/>
              <w:ind w:firstLine="482"/>
              <w:rPr>
                <w:rFonts w:hint="default"/>
                <w:b/>
                <w:bCs/>
              </w:rPr>
            </w:pPr>
            <w:r>
              <w:rPr>
                <w:b/>
                <w:bCs/>
              </w:rPr>
              <w:t>2.废气收集情况</w:t>
            </w:r>
          </w:p>
          <w:p w14:paraId="1E2F63C0">
            <w:pPr>
              <w:pStyle w:val="36"/>
              <w:ind w:firstLine="480"/>
              <w:rPr>
                <w:rFonts w:hint="default"/>
              </w:rPr>
            </w:pPr>
            <w:r>
              <w:t>格栅、调节池、生化池、膜池和污泥脱水间是臭气产生的主要单元，为保护环境，减少恶臭气体对人体的危害，本工程对这几处构筑物密闭加盖，产生的恶臭气体通过风管收集</w:t>
            </w:r>
            <w:r>
              <w:rPr>
                <w:rFonts w:hint="eastAsia"/>
                <w:lang w:eastAsia="zh-CN"/>
              </w:rPr>
              <w:t>（</w:t>
            </w:r>
            <w:r>
              <w:rPr>
                <w:rFonts w:hint="eastAsia"/>
                <w:lang w:val="en-US" w:eastAsia="zh-CN"/>
              </w:rPr>
              <w:t>6500</w:t>
            </w:r>
            <w:r>
              <w:t>m</w:t>
            </w:r>
            <w:r>
              <w:rPr>
                <w:vertAlign w:val="superscript"/>
              </w:rPr>
              <w:t>3</w:t>
            </w:r>
            <w:r>
              <w:rPr>
                <w:rFonts w:hint="eastAsia"/>
                <w:lang w:val="en-US" w:eastAsia="zh-CN"/>
              </w:rPr>
              <w:t>/h</w:t>
            </w:r>
            <w:r>
              <w:rPr>
                <w:rFonts w:hint="eastAsia"/>
                <w:lang w:eastAsia="zh-CN"/>
              </w:rPr>
              <w:t>）</w:t>
            </w:r>
            <w:r>
              <w:t>，废气收集效率约90%，收集后的恶臭气体采用</w:t>
            </w:r>
            <w:r>
              <w:rPr>
                <w:rFonts w:hint="eastAsia"/>
                <w:lang w:eastAsia="zh-CN"/>
              </w:rPr>
              <w:t>UV光氧光解催化</w:t>
            </w:r>
            <w:r>
              <w:t>工艺进行处理，处理后由15m高排气筒排放。</w:t>
            </w:r>
          </w:p>
          <w:p w14:paraId="30816551">
            <w:pPr>
              <w:pStyle w:val="36"/>
              <w:ind w:firstLine="482"/>
              <w:rPr>
                <w:rFonts w:hint="default"/>
                <w:b/>
                <w:bCs/>
              </w:rPr>
            </w:pPr>
            <w:r>
              <w:rPr>
                <w:b/>
                <w:bCs/>
              </w:rPr>
              <w:t>3.废气处理设施及处理效率</w:t>
            </w:r>
          </w:p>
          <w:p w14:paraId="7F5F5673">
            <w:pPr>
              <w:pStyle w:val="36"/>
              <w:ind w:firstLine="480"/>
              <w:rPr>
                <w:rFonts w:hint="default"/>
                <w:sz w:val="24"/>
                <w:szCs w:val="24"/>
              </w:rPr>
            </w:pPr>
            <w:r>
              <w:rPr>
                <w:rFonts w:hint="eastAsia"/>
                <w:sz w:val="24"/>
                <w:szCs w:val="24"/>
                <w:lang w:val="en-US" w:eastAsia="zh-CN"/>
              </w:rPr>
              <w:t>参考</w:t>
            </w:r>
            <w:r>
              <w:rPr>
                <w:sz w:val="24"/>
                <w:szCs w:val="24"/>
              </w:rPr>
              <w:t>《</w:t>
            </w:r>
            <w:r>
              <w:rPr>
                <w:rFonts w:hint="eastAsia"/>
                <w:sz w:val="24"/>
                <w:szCs w:val="24"/>
              </w:rPr>
              <w:t>紫外光催化氧化在污水处理厂除臭工程中的应用</w:t>
            </w:r>
            <w:r>
              <w:rPr>
                <w:sz w:val="24"/>
                <w:szCs w:val="24"/>
              </w:rPr>
              <w:t>》（</w:t>
            </w:r>
            <w:r>
              <w:rPr>
                <w:rFonts w:hint="eastAsia"/>
                <w:sz w:val="24"/>
                <w:szCs w:val="24"/>
                <w:lang w:val="en-US" w:eastAsia="zh-CN"/>
              </w:rPr>
              <w:t>环境工程</w:t>
            </w:r>
            <w:r>
              <w:rPr>
                <w:sz w:val="24"/>
                <w:szCs w:val="24"/>
              </w:rPr>
              <w:t>，</w:t>
            </w:r>
            <w:r>
              <w:rPr>
                <w:rFonts w:hint="eastAsia"/>
                <w:sz w:val="24"/>
                <w:szCs w:val="24"/>
              </w:rPr>
              <w:t>2011年12月第29卷第6期</w:t>
            </w:r>
            <w:r>
              <w:rPr>
                <w:sz w:val="24"/>
                <w:szCs w:val="24"/>
              </w:rPr>
              <w:t>）可知，</w:t>
            </w:r>
            <w:r>
              <w:rPr>
                <w:rFonts w:hint="eastAsia"/>
                <w:sz w:val="24"/>
                <w:szCs w:val="24"/>
              </w:rPr>
              <w:t>通过采用合适的构筑物加盖形式</w:t>
            </w:r>
            <w:r>
              <w:rPr>
                <w:rFonts w:hint="eastAsia"/>
                <w:sz w:val="24"/>
                <w:szCs w:val="24"/>
                <w:lang w:eastAsia="zh-CN"/>
              </w:rPr>
              <w:t>，</w:t>
            </w:r>
            <w:r>
              <w:rPr>
                <w:rFonts w:hint="eastAsia"/>
                <w:sz w:val="24"/>
                <w:szCs w:val="24"/>
              </w:rPr>
              <w:t>设计合理的换气次数</w:t>
            </w:r>
            <w:r>
              <w:rPr>
                <w:rFonts w:hint="eastAsia"/>
                <w:sz w:val="24"/>
                <w:szCs w:val="24"/>
                <w:lang w:eastAsia="zh-CN"/>
              </w:rPr>
              <w:t>，</w:t>
            </w:r>
            <w:r>
              <w:rPr>
                <w:rFonts w:hint="eastAsia"/>
                <w:sz w:val="24"/>
                <w:szCs w:val="24"/>
              </w:rPr>
              <w:t>采用紫外光催化氧化设备处理污水处理厂产生的恶臭气体</w:t>
            </w:r>
            <w:r>
              <w:rPr>
                <w:rFonts w:hint="eastAsia"/>
                <w:sz w:val="24"/>
                <w:szCs w:val="24"/>
                <w:lang w:eastAsia="zh-CN"/>
              </w:rPr>
              <w:t>，</w:t>
            </w:r>
            <w:r>
              <w:rPr>
                <w:rFonts w:hint="eastAsia"/>
                <w:sz w:val="24"/>
                <w:szCs w:val="24"/>
              </w:rPr>
              <w:t>运行结果表明</w:t>
            </w:r>
            <w:r>
              <w:rPr>
                <w:rFonts w:hint="eastAsia"/>
                <w:sz w:val="24"/>
                <w:szCs w:val="24"/>
                <w:lang w:eastAsia="zh-CN"/>
              </w:rPr>
              <w:t>：</w:t>
            </w:r>
            <w:r>
              <w:rPr>
                <w:rFonts w:hint="eastAsia"/>
                <w:sz w:val="24"/>
                <w:szCs w:val="24"/>
              </w:rPr>
              <w:t>该设备具有除臭效率高、操作简单、阻力小及不产生二次污染的优良性能</w:t>
            </w:r>
            <w:r>
              <w:rPr>
                <w:rFonts w:hint="eastAsia"/>
                <w:sz w:val="24"/>
                <w:szCs w:val="24"/>
                <w:lang w:eastAsia="zh-CN"/>
              </w:rPr>
              <w:t>；</w:t>
            </w:r>
            <w:r>
              <w:rPr>
                <w:rFonts w:hint="eastAsia"/>
                <w:sz w:val="24"/>
                <w:szCs w:val="24"/>
              </w:rPr>
              <w:t>该工艺对产生恶臭的物质均能达标排放</w:t>
            </w:r>
            <w:r>
              <w:rPr>
                <w:rFonts w:hint="eastAsia"/>
                <w:sz w:val="24"/>
                <w:szCs w:val="24"/>
                <w:lang w:eastAsia="zh-CN"/>
              </w:rPr>
              <w:t>，</w:t>
            </w:r>
            <w:r>
              <w:rPr>
                <w:rFonts w:hint="eastAsia"/>
                <w:sz w:val="24"/>
                <w:szCs w:val="24"/>
              </w:rPr>
              <w:t>且占地少</w:t>
            </w:r>
            <w:r>
              <w:rPr>
                <w:rFonts w:hint="eastAsia"/>
                <w:sz w:val="24"/>
                <w:szCs w:val="24"/>
                <w:lang w:eastAsia="zh-CN"/>
              </w:rPr>
              <w:t>，</w:t>
            </w:r>
            <w:r>
              <w:rPr>
                <w:rFonts w:hint="eastAsia"/>
                <w:sz w:val="24"/>
                <w:szCs w:val="24"/>
              </w:rPr>
              <w:t>投资省</w:t>
            </w:r>
            <w:r>
              <w:rPr>
                <w:rFonts w:hint="eastAsia"/>
                <w:sz w:val="24"/>
                <w:szCs w:val="24"/>
                <w:lang w:eastAsia="zh-CN"/>
              </w:rPr>
              <w:t>，</w:t>
            </w:r>
            <w:r>
              <w:rPr>
                <w:rFonts w:hint="eastAsia"/>
                <w:sz w:val="24"/>
                <w:szCs w:val="24"/>
              </w:rPr>
              <w:t>适合用于城镇污水处理厂除臭工程</w:t>
            </w:r>
            <w:r>
              <w:rPr>
                <w:rFonts w:hint="eastAsia"/>
                <w:sz w:val="24"/>
                <w:szCs w:val="24"/>
                <w:lang w:eastAsia="zh-CN"/>
              </w:rPr>
              <w:t>，</w:t>
            </w:r>
            <w:r>
              <w:rPr>
                <w:rFonts w:hint="eastAsia"/>
                <w:sz w:val="24"/>
                <w:szCs w:val="24"/>
              </w:rPr>
              <w:t>具有良好的经济效益和广阔的发展前景</w:t>
            </w:r>
            <w:r>
              <w:rPr>
                <w:sz w:val="24"/>
                <w:szCs w:val="24"/>
              </w:rPr>
              <w:t>；总体来说，“</w:t>
            </w:r>
            <w:r>
              <w:rPr>
                <w:rFonts w:hint="eastAsia"/>
                <w:sz w:val="24"/>
                <w:szCs w:val="24"/>
                <w:lang w:eastAsia="zh-CN"/>
              </w:rPr>
              <w:t>UV光氧光解催化</w:t>
            </w:r>
            <w:r>
              <w:rPr>
                <w:sz w:val="24"/>
                <w:szCs w:val="24"/>
              </w:rPr>
              <w:t>”除臭装置在运行稳定时对氨和硫化氢的去除率较高。本项目废气处理系统对</w:t>
            </w:r>
            <w:r>
              <w:rPr>
                <w:rFonts w:hint="default"/>
                <w:sz w:val="24"/>
                <w:szCs w:val="24"/>
              </w:rPr>
              <w:t>NH</w:t>
            </w:r>
            <w:r>
              <w:rPr>
                <w:rFonts w:hint="default"/>
                <w:sz w:val="24"/>
                <w:szCs w:val="24"/>
                <w:vertAlign w:val="subscript"/>
              </w:rPr>
              <w:t>3</w:t>
            </w:r>
            <w:r>
              <w:rPr>
                <w:sz w:val="24"/>
                <w:szCs w:val="24"/>
              </w:rPr>
              <w:t>、</w:t>
            </w:r>
            <w:r>
              <w:rPr>
                <w:rFonts w:hint="default"/>
                <w:sz w:val="24"/>
                <w:szCs w:val="24"/>
              </w:rPr>
              <w:t>H</w:t>
            </w:r>
            <w:r>
              <w:rPr>
                <w:rFonts w:hint="default"/>
                <w:sz w:val="24"/>
                <w:szCs w:val="24"/>
                <w:vertAlign w:val="subscript"/>
              </w:rPr>
              <w:t>2</w:t>
            </w:r>
            <w:r>
              <w:rPr>
                <w:rFonts w:hint="default"/>
                <w:sz w:val="24"/>
                <w:szCs w:val="24"/>
              </w:rPr>
              <w:t>S</w:t>
            </w:r>
            <w:r>
              <w:rPr>
                <w:sz w:val="24"/>
                <w:szCs w:val="24"/>
              </w:rPr>
              <w:t>去除率按90%计。</w:t>
            </w:r>
          </w:p>
          <w:p w14:paraId="5B41DF18">
            <w:pPr>
              <w:pStyle w:val="36"/>
              <w:ind w:firstLine="482"/>
              <w:rPr>
                <w:rFonts w:hint="default"/>
                <w:b/>
                <w:bCs/>
              </w:rPr>
            </w:pPr>
            <w:r>
              <w:rPr>
                <w:b/>
                <w:bCs/>
              </w:rPr>
              <w:t>4.废气污染物排放情况</w:t>
            </w:r>
          </w:p>
          <w:p w14:paraId="080639C7">
            <w:pPr>
              <w:pStyle w:val="36"/>
              <w:ind w:firstLine="480"/>
              <w:rPr>
                <w:rFonts w:hint="default"/>
              </w:rPr>
            </w:pPr>
            <w:r>
              <w:t>根据以上分析，本项目建成后，有组织废气污染物产排情况如下表所示：</w:t>
            </w:r>
          </w:p>
          <w:p w14:paraId="27ACB4C0">
            <w:pPr>
              <w:pStyle w:val="36"/>
              <w:ind w:firstLine="480"/>
              <w:rPr>
                <w:rFonts w:hint="default"/>
              </w:rPr>
            </w:pPr>
          </w:p>
          <w:p w14:paraId="4C1963EE">
            <w:pPr>
              <w:pStyle w:val="36"/>
              <w:ind w:firstLine="480"/>
              <w:rPr>
                <w:rFonts w:hint="default"/>
              </w:rPr>
            </w:pPr>
          </w:p>
          <w:p w14:paraId="27F211D6">
            <w:pPr>
              <w:pStyle w:val="36"/>
              <w:ind w:firstLine="480"/>
              <w:rPr>
                <w:rFonts w:hint="default"/>
              </w:rPr>
            </w:pPr>
          </w:p>
          <w:p w14:paraId="73F34076">
            <w:pPr>
              <w:pStyle w:val="36"/>
              <w:ind w:firstLine="480"/>
              <w:rPr>
                <w:rFonts w:hint="default"/>
              </w:rPr>
            </w:pPr>
          </w:p>
          <w:p w14:paraId="6C1D416D">
            <w:pPr>
              <w:pStyle w:val="36"/>
              <w:ind w:firstLine="480"/>
              <w:rPr>
                <w:rFonts w:hint="default"/>
              </w:rPr>
            </w:pPr>
          </w:p>
          <w:p w14:paraId="03BBCE06">
            <w:pPr>
              <w:pStyle w:val="36"/>
              <w:ind w:firstLine="480"/>
              <w:rPr>
                <w:rFonts w:hint="default"/>
              </w:rPr>
            </w:pPr>
          </w:p>
          <w:p w14:paraId="3CD76241">
            <w:pPr>
              <w:pStyle w:val="36"/>
              <w:ind w:firstLine="480"/>
              <w:rPr>
                <w:rFonts w:hint="default"/>
              </w:rPr>
            </w:pPr>
          </w:p>
          <w:p w14:paraId="1616ED96">
            <w:pPr>
              <w:pStyle w:val="36"/>
              <w:ind w:firstLine="480"/>
              <w:rPr>
                <w:rFonts w:hint="default"/>
              </w:rPr>
            </w:pPr>
          </w:p>
          <w:p w14:paraId="3468B98D">
            <w:pPr>
              <w:pStyle w:val="36"/>
              <w:ind w:firstLine="480"/>
              <w:rPr>
                <w:rFonts w:hint="default"/>
              </w:rPr>
            </w:pPr>
          </w:p>
          <w:p w14:paraId="6ED27194">
            <w:pPr>
              <w:pStyle w:val="36"/>
              <w:ind w:firstLine="480"/>
              <w:rPr>
                <w:rFonts w:hint="default"/>
              </w:rPr>
            </w:pPr>
          </w:p>
          <w:p w14:paraId="20EE47DF">
            <w:pPr>
              <w:pStyle w:val="36"/>
              <w:ind w:firstLine="480"/>
              <w:rPr>
                <w:rFonts w:hint="default"/>
              </w:rPr>
            </w:pPr>
          </w:p>
          <w:p w14:paraId="1A425F14">
            <w:pPr>
              <w:pStyle w:val="36"/>
              <w:ind w:firstLine="480"/>
              <w:rPr>
                <w:rFonts w:hint="default"/>
              </w:rPr>
            </w:pPr>
          </w:p>
          <w:p w14:paraId="11A1A071">
            <w:pPr>
              <w:pStyle w:val="36"/>
              <w:ind w:firstLine="480"/>
              <w:rPr>
                <w:rFonts w:hint="default"/>
              </w:rPr>
            </w:pPr>
          </w:p>
          <w:p w14:paraId="3D672D36">
            <w:pPr>
              <w:pStyle w:val="36"/>
              <w:ind w:firstLine="480"/>
              <w:rPr>
                <w:rFonts w:hint="default"/>
              </w:rPr>
            </w:pPr>
          </w:p>
          <w:p w14:paraId="3B88E79B">
            <w:pPr>
              <w:pStyle w:val="36"/>
              <w:ind w:firstLine="480"/>
              <w:rPr>
                <w:rFonts w:hint="default"/>
              </w:rPr>
            </w:pPr>
          </w:p>
          <w:p w14:paraId="5153CF41">
            <w:pPr>
              <w:pStyle w:val="36"/>
              <w:ind w:firstLine="480"/>
              <w:rPr>
                <w:rFonts w:hint="default"/>
              </w:rPr>
            </w:pPr>
          </w:p>
          <w:p w14:paraId="35B1C60C">
            <w:pPr>
              <w:pStyle w:val="115"/>
            </w:pPr>
          </w:p>
          <w:p w14:paraId="53D86533"/>
        </w:tc>
      </w:tr>
    </w:tbl>
    <w:p w14:paraId="52BC1C42">
      <w:pPr>
        <w:adjustRightInd w:val="0"/>
        <w:snapToGrid w:val="0"/>
        <w:jc w:val="center"/>
        <w:rPr>
          <w:bCs/>
          <w:szCs w:val="21"/>
        </w:rPr>
        <w:sectPr>
          <w:pgSz w:w="11906" w:h="16838"/>
          <w:pgMar w:top="1134" w:right="1134" w:bottom="1134" w:left="1417" w:header="851" w:footer="850" w:gutter="0"/>
          <w:pgBorders>
            <w:top w:val="none" w:sz="0" w:space="0"/>
            <w:left w:val="none" w:sz="0" w:space="0"/>
            <w:bottom w:val="none" w:sz="0" w:space="0"/>
            <w:right w:val="none" w:sz="0" w:space="0"/>
          </w:pgBorders>
          <w:pgNumType w:fmt="numberInDash"/>
          <w:cols w:space="720" w:num="1"/>
          <w:docGrid w:linePitch="312" w:charSpace="0"/>
        </w:sectPr>
      </w:pPr>
    </w:p>
    <w:tbl>
      <w:tblPr>
        <w:tblStyle w:val="28"/>
        <w:tblW w:w="511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111"/>
      </w:tblGrid>
      <w:tr w14:paraId="2AF64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9" w:hRule="atLeast"/>
          <w:jc w:val="center"/>
        </w:trPr>
        <w:tc>
          <w:tcPr>
            <w:tcW w:w="5000" w:type="pct"/>
            <w:vAlign w:val="center"/>
          </w:tcPr>
          <w:p w14:paraId="07396366">
            <w:pPr>
              <w:adjustRightInd w:val="0"/>
              <w:snapToGrid w:val="0"/>
              <w:spacing w:before="120" w:beforeLines="50" w:line="360" w:lineRule="auto"/>
              <w:ind w:firstLine="482" w:firstLineChars="200"/>
              <w:jc w:val="left"/>
              <w:textAlignment w:val="baseline"/>
              <w:rPr>
                <w:b/>
                <w:bCs/>
                <w:sz w:val="24"/>
              </w:rPr>
            </w:pPr>
            <w:r>
              <w:rPr>
                <w:rFonts w:hint="eastAsia"/>
                <w:b/>
                <w:bCs/>
                <w:sz w:val="24"/>
              </w:rPr>
              <w:t>（1）废气污染物</w:t>
            </w:r>
            <w:r>
              <w:rPr>
                <w:b/>
                <w:bCs/>
                <w:sz w:val="24"/>
              </w:rPr>
              <w:t>产排情况</w:t>
            </w:r>
            <w:r>
              <w:rPr>
                <w:rFonts w:hint="eastAsia"/>
                <w:b/>
                <w:bCs/>
                <w:sz w:val="24"/>
              </w:rPr>
              <w:t>汇总</w:t>
            </w:r>
          </w:p>
          <w:p w14:paraId="1ED55DE3">
            <w:pPr>
              <w:tabs>
                <w:tab w:val="left" w:pos="3503"/>
              </w:tabs>
              <w:adjustRightInd w:val="0"/>
              <w:snapToGrid w:val="0"/>
              <w:spacing w:line="360" w:lineRule="auto"/>
              <w:ind w:firstLine="482" w:firstLineChars="200"/>
              <w:jc w:val="left"/>
              <w:textAlignment w:val="baseline"/>
              <w:rPr>
                <w:b/>
                <w:bCs/>
                <w:sz w:val="24"/>
              </w:rPr>
            </w:pPr>
            <w:r>
              <w:rPr>
                <w:rFonts w:hint="eastAsia"/>
                <w:b/>
                <w:bCs/>
                <w:sz w:val="24"/>
              </w:rPr>
              <w:t>正常工况</w:t>
            </w:r>
          </w:p>
          <w:p w14:paraId="589F035C">
            <w:pPr>
              <w:pStyle w:val="52"/>
            </w:pPr>
            <w:bookmarkStart w:id="36" w:name="_Ref4212"/>
            <w:r>
              <w:t>废气污染源产生、正常排放汇总表</w:t>
            </w:r>
            <w:bookmarkEnd w:id="36"/>
          </w:p>
          <w:tbl>
            <w:tblPr>
              <w:tblStyle w:val="28"/>
              <w:tblW w:w="497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825"/>
              <w:gridCol w:w="267"/>
              <w:gridCol w:w="641"/>
              <w:gridCol w:w="538"/>
              <w:gridCol w:w="660"/>
              <w:gridCol w:w="844"/>
              <w:gridCol w:w="844"/>
              <w:gridCol w:w="479"/>
              <w:gridCol w:w="497"/>
              <w:gridCol w:w="485"/>
              <w:gridCol w:w="889"/>
              <w:gridCol w:w="696"/>
              <w:gridCol w:w="844"/>
              <w:gridCol w:w="844"/>
              <w:gridCol w:w="868"/>
              <w:gridCol w:w="1776"/>
              <w:gridCol w:w="307"/>
              <w:gridCol w:w="319"/>
              <w:gridCol w:w="478"/>
              <w:gridCol w:w="637"/>
              <w:gridCol w:w="626"/>
              <w:gridCol w:w="460"/>
            </w:tblGrid>
            <w:tr w14:paraId="1BFDC9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91" w:type="pct"/>
                  <w:vMerge w:val="restart"/>
                  <w:vAlign w:val="center"/>
                </w:tcPr>
                <w:p w14:paraId="345C8D4B">
                  <w:pPr>
                    <w:widowControl/>
                    <w:adjustRightInd w:val="0"/>
                    <w:snapToGrid w:val="0"/>
                    <w:spacing w:before="48" w:beforeLines="20" w:after="48" w:afterLines="20"/>
                    <w:jc w:val="center"/>
                    <w:textAlignment w:val="center"/>
                    <w:rPr>
                      <w:b/>
                      <w:bCs/>
                      <w:szCs w:val="21"/>
                    </w:rPr>
                  </w:pPr>
                  <w:r>
                    <w:rPr>
                      <w:rFonts w:hint="eastAsia"/>
                      <w:b/>
                      <w:bCs/>
                      <w:szCs w:val="21"/>
                    </w:rPr>
                    <w:t>污染源</w:t>
                  </w:r>
                </w:p>
              </w:tc>
              <w:tc>
                <w:tcPr>
                  <w:tcW w:w="90" w:type="pct"/>
                  <w:vMerge w:val="restart"/>
                  <w:vAlign w:val="center"/>
                </w:tcPr>
                <w:p w14:paraId="70E89118">
                  <w:pPr>
                    <w:widowControl/>
                    <w:adjustRightInd w:val="0"/>
                    <w:snapToGrid w:val="0"/>
                    <w:spacing w:before="48" w:beforeLines="20" w:after="48" w:afterLines="20"/>
                    <w:jc w:val="center"/>
                    <w:textAlignment w:val="center"/>
                    <w:rPr>
                      <w:b/>
                      <w:bCs/>
                      <w:szCs w:val="21"/>
                    </w:rPr>
                  </w:pPr>
                  <w:r>
                    <w:rPr>
                      <w:b/>
                      <w:bCs/>
                      <w:szCs w:val="21"/>
                    </w:rPr>
                    <w:t>排放形式</w:t>
                  </w:r>
                </w:p>
              </w:tc>
              <w:tc>
                <w:tcPr>
                  <w:tcW w:w="229" w:type="pct"/>
                  <w:vMerge w:val="restart"/>
                  <w:vAlign w:val="center"/>
                </w:tcPr>
                <w:p w14:paraId="03F299BB">
                  <w:pPr>
                    <w:widowControl/>
                    <w:adjustRightInd w:val="0"/>
                    <w:snapToGrid w:val="0"/>
                    <w:spacing w:before="48" w:beforeLines="20" w:after="48" w:afterLines="20"/>
                    <w:jc w:val="center"/>
                    <w:textAlignment w:val="center"/>
                    <w:rPr>
                      <w:b/>
                      <w:bCs/>
                      <w:szCs w:val="21"/>
                    </w:rPr>
                  </w:pPr>
                  <w:r>
                    <w:rPr>
                      <w:b/>
                      <w:bCs/>
                      <w:szCs w:val="21"/>
                    </w:rPr>
                    <w:t>污染物种类</w:t>
                  </w:r>
                </w:p>
              </w:tc>
              <w:tc>
                <w:tcPr>
                  <w:tcW w:w="935" w:type="pct"/>
                  <w:gridSpan w:val="4"/>
                  <w:vAlign w:val="center"/>
                </w:tcPr>
                <w:p w14:paraId="1BADB2EA">
                  <w:pPr>
                    <w:widowControl/>
                    <w:adjustRightInd w:val="0"/>
                    <w:snapToGrid w:val="0"/>
                    <w:spacing w:before="48" w:beforeLines="20" w:after="48" w:afterLines="20"/>
                    <w:jc w:val="center"/>
                    <w:textAlignment w:val="center"/>
                    <w:rPr>
                      <w:b/>
                      <w:bCs/>
                      <w:szCs w:val="21"/>
                    </w:rPr>
                  </w:pPr>
                  <w:r>
                    <w:rPr>
                      <w:b/>
                      <w:bCs/>
                      <w:szCs w:val="21"/>
                    </w:rPr>
                    <w:t>污染物产生量和浓度</w:t>
                  </w:r>
                </w:p>
              </w:tc>
              <w:tc>
                <w:tcPr>
                  <w:tcW w:w="842" w:type="pct"/>
                  <w:gridSpan w:val="4"/>
                  <w:tcBorders>
                    <w:left w:val="single" w:color="auto" w:sz="4" w:space="0"/>
                  </w:tcBorders>
                  <w:vAlign w:val="center"/>
                </w:tcPr>
                <w:p w14:paraId="635A16A7">
                  <w:pPr>
                    <w:widowControl/>
                    <w:adjustRightInd w:val="0"/>
                    <w:snapToGrid w:val="0"/>
                    <w:spacing w:before="48" w:beforeLines="20" w:after="48" w:afterLines="20"/>
                    <w:jc w:val="center"/>
                    <w:textAlignment w:val="center"/>
                    <w:rPr>
                      <w:b/>
                      <w:bCs/>
                      <w:szCs w:val="21"/>
                    </w:rPr>
                  </w:pPr>
                  <w:r>
                    <w:rPr>
                      <w:b/>
                      <w:bCs/>
                      <w:szCs w:val="21"/>
                    </w:rPr>
                    <w:t>污染治理设施</w:t>
                  </w:r>
                </w:p>
              </w:tc>
              <w:tc>
                <w:tcPr>
                  <w:tcW w:w="679" w:type="pct"/>
                  <w:gridSpan w:val="3"/>
                  <w:vAlign w:val="center"/>
                </w:tcPr>
                <w:p w14:paraId="0FE65A2D">
                  <w:pPr>
                    <w:widowControl/>
                    <w:adjustRightInd w:val="0"/>
                    <w:snapToGrid w:val="0"/>
                    <w:spacing w:before="48" w:beforeLines="20" w:after="48" w:afterLines="20"/>
                    <w:jc w:val="center"/>
                    <w:textAlignment w:val="center"/>
                    <w:rPr>
                      <w:b/>
                      <w:bCs/>
                      <w:szCs w:val="21"/>
                    </w:rPr>
                  </w:pPr>
                  <w:r>
                    <w:rPr>
                      <w:b/>
                      <w:bCs/>
                      <w:szCs w:val="21"/>
                    </w:rPr>
                    <w:t>污染物排放量和浓度</w:t>
                  </w:r>
                </w:p>
              </w:tc>
              <w:tc>
                <w:tcPr>
                  <w:tcW w:w="1540" w:type="pct"/>
                  <w:gridSpan w:val="6"/>
                  <w:vAlign w:val="center"/>
                </w:tcPr>
                <w:p w14:paraId="13F95BD4">
                  <w:pPr>
                    <w:widowControl/>
                    <w:adjustRightInd w:val="0"/>
                    <w:snapToGrid w:val="0"/>
                    <w:spacing w:before="48" w:beforeLines="20" w:after="48" w:afterLines="20"/>
                    <w:jc w:val="center"/>
                    <w:textAlignment w:val="center"/>
                    <w:rPr>
                      <w:b/>
                      <w:bCs/>
                      <w:szCs w:val="21"/>
                    </w:rPr>
                  </w:pPr>
                  <w:r>
                    <w:rPr>
                      <w:b/>
                      <w:bCs/>
                      <w:szCs w:val="21"/>
                    </w:rPr>
                    <w:t>排放口基本情况</w:t>
                  </w:r>
                </w:p>
              </w:tc>
              <w:tc>
                <w:tcPr>
                  <w:tcW w:w="391" w:type="pct"/>
                  <w:gridSpan w:val="2"/>
                  <w:vAlign w:val="center"/>
                </w:tcPr>
                <w:p w14:paraId="0AC49D53">
                  <w:pPr>
                    <w:widowControl/>
                    <w:adjustRightInd w:val="0"/>
                    <w:snapToGrid w:val="0"/>
                    <w:spacing w:before="48" w:beforeLines="20" w:after="48" w:afterLines="20"/>
                    <w:jc w:val="center"/>
                    <w:textAlignment w:val="center"/>
                    <w:rPr>
                      <w:b/>
                      <w:bCs/>
                      <w:szCs w:val="21"/>
                    </w:rPr>
                  </w:pPr>
                  <w:r>
                    <w:rPr>
                      <w:b/>
                      <w:bCs/>
                      <w:szCs w:val="21"/>
                    </w:rPr>
                    <w:t>排放标准</w:t>
                  </w:r>
                </w:p>
              </w:tc>
            </w:tr>
            <w:tr w14:paraId="539988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291" w:type="pct"/>
                  <w:vMerge w:val="continue"/>
                  <w:vAlign w:val="center"/>
                </w:tcPr>
                <w:p w14:paraId="2FADEEC0">
                  <w:pPr>
                    <w:widowControl/>
                    <w:adjustRightInd w:val="0"/>
                    <w:snapToGrid w:val="0"/>
                    <w:spacing w:before="48" w:beforeLines="20" w:after="48" w:afterLines="20"/>
                    <w:jc w:val="center"/>
                    <w:rPr>
                      <w:b/>
                      <w:bCs/>
                      <w:szCs w:val="21"/>
                    </w:rPr>
                  </w:pPr>
                </w:p>
              </w:tc>
              <w:tc>
                <w:tcPr>
                  <w:tcW w:w="90" w:type="pct"/>
                  <w:vMerge w:val="continue"/>
                  <w:vAlign w:val="center"/>
                </w:tcPr>
                <w:p w14:paraId="1A4AA1A0">
                  <w:pPr>
                    <w:widowControl/>
                    <w:adjustRightInd w:val="0"/>
                    <w:snapToGrid w:val="0"/>
                    <w:spacing w:before="48" w:beforeLines="20" w:after="48" w:afterLines="20"/>
                    <w:jc w:val="center"/>
                    <w:rPr>
                      <w:b/>
                      <w:bCs/>
                      <w:szCs w:val="21"/>
                    </w:rPr>
                  </w:pPr>
                </w:p>
              </w:tc>
              <w:tc>
                <w:tcPr>
                  <w:tcW w:w="229" w:type="pct"/>
                  <w:vMerge w:val="continue"/>
                  <w:vAlign w:val="center"/>
                </w:tcPr>
                <w:p w14:paraId="1C22B31C">
                  <w:pPr>
                    <w:widowControl/>
                    <w:adjustRightInd w:val="0"/>
                    <w:snapToGrid w:val="0"/>
                    <w:spacing w:before="48" w:beforeLines="20" w:after="48" w:afterLines="20"/>
                    <w:jc w:val="center"/>
                    <w:rPr>
                      <w:b/>
                      <w:bCs/>
                      <w:szCs w:val="21"/>
                    </w:rPr>
                  </w:pPr>
                </w:p>
              </w:tc>
              <w:tc>
                <w:tcPr>
                  <w:tcW w:w="194" w:type="pct"/>
                  <w:tcBorders>
                    <w:right w:val="single" w:color="auto" w:sz="4" w:space="0"/>
                  </w:tcBorders>
                  <w:vAlign w:val="center"/>
                </w:tcPr>
                <w:p w14:paraId="0E0AE52B">
                  <w:pPr>
                    <w:widowControl/>
                    <w:adjustRightInd w:val="0"/>
                    <w:snapToGrid w:val="0"/>
                    <w:spacing w:before="48" w:beforeLines="20" w:after="48" w:afterLines="20"/>
                    <w:jc w:val="center"/>
                    <w:textAlignment w:val="center"/>
                    <w:rPr>
                      <w:b/>
                      <w:bCs/>
                      <w:szCs w:val="21"/>
                    </w:rPr>
                  </w:pPr>
                  <w:r>
                    <w:rPr>
                      <w:b/>
                      <w:bCs/>
                      <w:szCs w:val="21"/>
                    </w:rPr>
                    <w:t>废气量</w:t>
                  </w:r>
                  <w:r>
                    <w:t>m</w:t>
                  </w:r>
                  <w:r>
                    <w:rPr>
                      <w:vertAlign w:val="superscript"/>
                    </w:rPr>
                    <w:t>3</w:t>
                  </w:r>
                  <w:r>
                    <w:rPr>
                      <w:b/>
                      <w:bCs/>
                      <w:szCs w:val="21"/>
                    </w:rPr>
                    <w:t>/h</w:t>
                  </w:r>
                </w:p>
              </w:tc>
              <w:tc>
                <w:tcPr>
                  <w:tcW w:w="235" w:type="pct"/>
                  <w:tcBorders>
                    <w:left w:val="single" w:color="auto" w:sz="4" w:space="0"/>
                  </w:tcBorders>
                  <w:vAlign w:val="center"/>
                </w:tcPr>
                <w:p w14:paraId="006C1F8E">
                  <w:pPr>
                    <w:widowControl/>
                    <w:adjustRightInd w:val="0"/>
                    <w:snapToGrid w:val="0"/>
                    <w:spacing w:before="48" w:beforeLines="20" w:after="48" w:afterLines="20"/>
                    <w:jc w:val="center"/>
                    <w:textAlignment w:val="center"/>
                    <w:rPr>
                      <w:b/>
                      <w:bCs/>
                      <w:szCs w:val="21"/>
                    </w:rPr>
                  </w:pPr>
                  <w:r>
                    <w:rPr>
                      <w:b/>
                      <w:bCs/>
                      <w:szCs w:val="21"/>
                    </w:rPr>
                    <w:t>浓度mg/</w:t>
                  </w:r>
                  <w:r>
                    <w:t>m</w:t>
                  </w:r>
                  <w:r>
                    <w:rPr>
                      <w:vertAlign w:val="superscript"/>
                    </w:rPr>
                    <w:t>3</w:t>
                  </w:r>
                </w:p>
              </w:tc>
              <w:tc>
                <w:tcPr>
                  <w:tcW w:w="238" w:type="pct"/>
                  <w:vAlign w:val="center"/>
                </w:tcPr>
                <w:p w14:paraId="58E7BDBE">
                  <w:pPr>
                    <w:widowControl/>
                    <w:adjustRightInd w:val="0"/>
                    <w:snapToGrid w:val="0"/>
                    <w:spacing w:before="48" w:beforeLines="20" w:after="48" w:afterLines="20"/>
                    <w:jc w:val="center"/>
                    <w:textAlignment w:val="center"/>
                    <w:rPr>
                      <w:b/>
                      <w:bCs/>
                      <w:szCs w:val="21"/>
                    </w:rPr>
                  </w:pPr>
                  <w:r>
                    <w:rPr>
                      <w:b/>
                      <w:bCs/>
                      <w:szCs w:val="21"/>
                    </w:rPr>
                    <w:t>速率kg/h</w:t>
                  </w:r>
                </w:p>
              </w:tc>
              <w:tc>
                <w:tcPr>
                  <w:tcW w:w="266" w:type="pct"/>
                  <w:vAlign w:val="center"/>
                </w:tcPr>
                <w:p w14:paraId="1325264B">
                  <w:pPr>
                    <w:widowControl/>
                    <w:adjustRightInd w:val="0"/>
                    <w:snapToGrid w:val="0"/>
                    <w:spacing w:before="48" w:beforeLines="20" w:after="48" w:afterLines="20"/>
                    <w:jc w:val="center"/>
                    <w:textAlignment w:val="center"/>
                    <w:rPr>
                      <w:b/>
                      <w:bCs/>
                      <w:szCs w:val="21"/>
                    </w:rPr>
                  </w:pPr>
                  <w:r>
                    <w:rPr>
                      <w:b/>
                      <w:bCs/>
                      <w:szCs w:val="21"/>
                    </w:rPr>
                    <w:t>产生量</w:t>
                  </w:r>
                  <w:r>
                    <w:rPr>
                      <w:rFonts w:hint="eastAsia"/>
                      <w:b/>
                      <w:bCs/>
                      <w:szCs w:val="21"/>
                    </w:rPr>
                    <w:t>t</w:t>
                  </w:r>
                  <w:r>
                    <w:rPr>
                      <w:b/>
                      <w:bCs/>
                      <w:szCs w:val="21"/>
                    </w:rPr>
                    <w:t>/a</w:t>
                  </w:r>
                </w:p>
              </w:tc>
              <w:tc>
                <w:tcPr>
                  <w:tcW w:w="174" w:type="pct"/>
                  <w:tcBorders>
                    <w:left w:val="single" w:color="auto" w:sz="4" w:space="0"/>
                  </w:tcBorders>
                  <w:vAlign w:val="center"/>
                </w:tcPr>
                <w:p w14:paraId="6303C53C">
                  <w:pPr>
                    <w:widowControl/>
                    <w:adjustRightInd w:val="0"/>
                    <w:snapToGrid w:val="0"/>
                    <w:spacing w:before="48" w:beforeLines="20" w:after="48" w:afterLines="20"/>
                    <w:jc w:val="center"/>
                    <w:textAlignment w:val="center"/>
                    <w:rPr>
                      <w:b/>
                      <w:bCs/>
                      <w:szCs w:val="21"/>
                    </w:rPr>
                  </w:pPr>
                  <w:r>
                    <w:rPr>
                      <w:b/>
                      <w:bCs/>
                      <w:szCs w:val="21"/>
                    </w:rPr>
                    <w:t>收集效率%</w:t>
                  </w:r>
                </w:p>
              </w:tc>
              <w:tc>
                <w:tcPr>
                  <w:tcW w:w="180" w:type="pct"/>
                  <w:vAlign w:val="center"/>
                </w:tcPr>
                <w:p w14:paraId="1F13555B">
                  <w:pPr>
                    <w:widowControl/>
                    <w:adjustRightInd w:val="0"/>
                    <w:snapToGrid w:val="0"/>
                    <w:spacing w:before="48" w:beforeLines="20" w:after="48" w:afterLines="20"/>
                    <w:jc w:val="center"/>
                    <w:textAlignment w:val="center"/>
                    <w:rPr>
                      <w:b/>
                      <w:bCs/>
                      <w:szCs w:val="21"/>
                    </w:rPr>
                  </w:pPr>
                  <w:r>
                    <w:rPr>
                      <w:b/>
                      <w:bCs/>
                      <w:szCs w:val="21"/>
                    </w:rPr>
                    <w:t>去除效率%</w:t>
                  </w:r>
                </w:p>
              </w:tc>
              <w:tc>
                <w:tcPr>
                  <w:tcW w:w="176" w:type="pct"/>
                  <w:vAlign w:val="center"/>
                </w:tcPr>
                <w:p w14:paraId="7178F2C6">
                  <w:pPr>
                    <w:widowControl/>
                    <w:adjustRightInd w:val="0"/>
                    <w:snapToGrid w:val="0"/>
                    <w:spacing w:before="48" w:beforeLines="20" w:after="48" w:afterLines="20"/>
                    <w:jc w:val="center"/>
                    <w:textAlignment w:val="center"/>
                    <w:rPr>
                      <w:b/>
                      <w:bCs/>
                      <w:szCs w:val="21"/>
                    </w:rPr>
                  </w:pPr>
                  <w:r>
                    <w:rPr>
                      <w:b/>
                      <w:bCs/>
                      <w:szCs w:val="21"/>
                    </w:rPr>
                    <w:t>是否可行技术</w:t>
                  </w:r>
                </w:p>
              </w:tc>
              <w:tc>
                <w:tcPr>
                  <w:tcW w:w="312" w:type="pct"/>
                  <w:vAlign w:val="center"/>
                </w:tcPr>
                <w:p w14:paraId="6FCAD7F1">
                  <w:pPr>
                    <w:widowControl/>
                    <w:adjustRightInd w:val="0"/>
                    <w:snapToGrid w:val="0"/>
                    <w:spacing w:before="48" w:beforeLines="20" w:after="48" w:afterLines="20"/>
                    <w:jc w:val="center"/>
                    <w:textAlignment w:val="center"/>
                    <w:rPr>
                      <w:b/>
                      <w:bCs/>
                      <w:szCs w:val="21"/>
                    </w:rPr>
                  </w:pPr>
                  <w:r>
                    <w:rPr>
                      <w:b/>
                      <w:bCs/>
                      <w:szCs w:val="21"/>
                    </w:rPr>
                    <w:t>处理工艺</w:t>
                  </w:r>
                </w:p>
              </w:tc>
              <w:tc>
                <w:tcPr>
                  <w:tcW w:w="247" w:type="pct"/>
                  <w:vAlign w:val="center"/>
                </w:tcPr>
                <w:p w14:paraId="4CFB19A6">
                  <w:pPr>
                    <w:widowControl/>
                    <w:adjustRightInd w:val="0"/>
                    <w:snapToGrid w:val="0"/>
                    <w:spacing w:before="48" w:beforeLines="20" w:after="48" w:afterLines="20"/>
                    <w:jc w:val="center"/>
                    <w:textAlignment w:val="center"/>
                    <w:rPr>
                      <w:b/>
                      <w:bCs/>
                      <w:szCs w:val="21"/>
                    </w:rPr>
                  </w:pPr>
                  <w:r>
                    <w:rPr>
                      <w:b/>
                      <w:bCs/>
                      <w:szCs w:val="21"/>
                    </w:rPr>
                    <w:t>浓度mg/</w:t>
                  </w:r>
                  <w:r>
                    <w:t>m</w:t>
                  </w:r>
                  <w:r>
                    <w:rPr>
                      <w:vertAlign w:val="superscript"/>
                    </w:rPr>
                    <w:t>3</w:t>
                  </w:r>
                </w:p>
              </w:tc>
              <w:tc>
                <w:tcPr>
                  <w:tcW w:w="213" w:type="pct"/>
                  <w:vAlign w:val="center"/>
                </w:tcPr>
                <w:p w14:paraId="6BE3423D">
                  <w:pPr>
                    <w:widowControl/>
                    <w:adjustRightInd w:val="0"/>
                    <w:snapToGrid w:val="0"/>
                    <w:spacing w:before="48" w:beforeLines="20" w:after="48" w:afterLines="20"/>
                    <w:jc w:val="center"/>
                    <w:textAlignment w:val="center"/>
                    <w:rPr>
                      <w:b/>
                      <w:bCs/>
                      <w:szCs w:val="21"/>
                    </w:rPr>
                  </w:pPr>
                  <w:r>
                    <w:rPr>
                      <w:b/>
                      <w:bCs/>
                      <w:szCs w:val="21"/>
                    </w:rPr>
                    <w:t>速率kg/h</w:t>
                  </w:r>
                </w:p>
              </w:tc>
              <w:tc>
                <w:tcPr>
                  <w:tcW w:w="218" w:type="pct"/>
                  <w:vAlign w:val="center"/>
                </w:tcPr>
                <w:p w14:paraId="566C9DF3">
                  <w:pPr>
                    <w:widowControl/>
                    <w:adjustRightInd w:val="0"/>
                    <w:snapToGrid w:val="0"/>
                    <w:spacing w:before="48" w:beforeLines="20" w:after="48" w:afterLines="20"/>
                    <w:jc w:val="center"/>
                    <w:textAlignment w:val="center"/>
                    <w:rPr>
                      <w:b/>
                      <w:bCs/>
                      <w:szCs w:val="21"/>
                    </w:rPr>
                  </w:pPr>
                  <w:r>
                    <w:rPr>
                      <w:b/>
                      <w:bCs/>
                      <w:szCs w:val="21"/>
                    </w:rPr>
                    <w:t>排放量</w:t>
                  </w:r>
                </w:p>
                <w:p w14:paraId="61CACF4E">
                  <w:pPr>
                    <w:widowControl/>
                    <w:adjustRightInd w:val="0"/>
                    <w:snapToGrid w:val="0"/>
                    <w:spacing w:before="48" w:beforeLines="20" w:after="48" w:afterLines="20"/>
                    <w:jc w:val="center"/>
                    <w:textAlignment w:val="center"/>
                    <w:rPr>
                      <w:b/>
                      <w:bCs/>
                      <w:szCs w:val="21"/>
                    </w:rPr>
                  </w:pPr>
                  <w:r>
                    <w:rPr>
                      <w:rFonts w:hint="eastAsia"/>
                      <w:b/>
                      <w:bCs/>
                      <w:szCs w:val="21"/>
                    </w:rPr>
                    <w:t>t</w:t>
                  </w:r>
                  <w:r>
                    <w:rPr>
                      <w:b/>
                      <w:bCs/>
                      <w:szCs w:val="21"/>
                    </w:rPr>
                    <w:t>/a</w:t>
                  </w:r>
                </w:p>
              </w:tc>
              <w:tc>
                <w:tcPr>
                  <w:tcW w:w="305" w:type="pct"/>
                  <w:vAlign w:val="center"/>
                </w:tcPr>
                <w:p w14:paraId="32289503">
                  <w:pPr>
                    <w:widowControl/>
                    <w:adjustRightInd w:val="0"/>
                    <w:snapToGrid w:val="0"/>
                    <w:spacing w:before="48" w:beforeLines="20" w:after="48" w:afterLines="20"/>
                    <w:jc w:val="center"/>
                    <w:textAlignment w:val="center"/>
                    <w:rPr>
                      <w:b/>
                      <w:bCs/>
                      <w:szCs w:val="21"/>
                    </w:rPr>
                  </w:pPr>
                  <w:r>
                    <w:rPr>
                      <w:b/>
                      <w:bCs/>
                      <w:szCs w:val="21"/>
                    </w:rPr>
                    <w:t>编号及名称</w:t>
                  </w:r>
                </w:p>
              </w:tc>
              <w:tc>
                <w:tcPr>
                  <w:tcW w:w="611" w:type="pct"/>
                  <w:vAlign w:val="center"/>
                </w:tcPr>
                <w:p w14:paraId="2C5BE8EB">
                  <w:pPr>
                    <w:adjustRightInd w:val="0"/>
                    <w:snapToGrid w:val="0"/>
                    <w:spacing w:line="240" w:lineRule="exact"/>
                    <w:jc w:val="center"/>
                    <w:rPr>
                      <w:b/>
                      <w:bCs/>
                      <w:szCs w:val="21"/>
                    </w:rPr>
                  </w:pPr>
                  <w:r>
                    <w:rPr>
                      <w:b/>
                      <w:bCs/>
                      <w:szCs w:val="21"/>
                    </w:rPr>
                    <w:t>地理</w:t>
                  </w:r>
                </w:p>
                <w:p w14:paraId="370ABAE9">
                  <w:pPr>
                    <w:widowControl/>
                    <w:adjustRightInd w:val="0"/>
                    <w:snapToGrid w:val="0"/>
                    <w:spacing w:before="48" w:beforeLines="20" w:after="48" w:afterLines="20"/>
                    <w:jc w:val="center"/>
                    <w:textAlignment w:val="center"/>
                    <w:rPr>
                      <w:b/>
                      <w:bCs/>
                      <w:szCs w:val="21"/>
                    </w:rPr>
                  </w:pPr>
                  <w:r>
                    <w:rPr>
                      <w:b/>
                      <w:bCs/>
                      <w:szCs w:val="21"/>
                    </w:rPr>
                    <w:t>坐标</w:t>
                  </w:r>
                </w:p>
              </w:tc>
              <w:tc>
                <w:tcPr>
                  <w:tcW w:w="116" w:type="pct"/>
                  <w:vAlign w:val="center"/>
                </w:tcPr>
                <w:p w14:paraId="54F9E843">
                  <w:pPr>
                    <w:widowControl/>
                    <w:adjustRightInd w:val="0"/>
                    <w:snapToGrid w:val="0"/>
                    <w:spacing w:before="48" w:beforeLines="20" w:after="48" w:afterLines="20"/>
                    <w:jc w:val="center"/>
                    <w:textAlignment w:val="center"/>
                    <w:rPr>
                      <w:b/>
                      <w:bCs/>
                      <w:szCs w:val="21"/>
                    </w:rPr>
                  </w:pPr>
                  <w:r>
                    <w:rPr>
                      <w:b/>
                      <w:bCs/>
                      <w:szCs w:val="21"/>
                    </w:rPr>
                    <w:t>高度m</w:t>
                  </w:r>
                </w:p>
              </w:tc>
              <w:tc>
                <w:tcPr>
                  <w:tcW w:w="107" w:type="pct"/>
                  <w:vAlign w:val="center"/>
                </w:tcPr>
                <w:p w14:paraId="271AE396">
                  <w:pPr>
                    <w:widowControl/>
                    <w:adjustRightInd w:val="0"/>
                    <w:snapToGrid w:val="0"/>
                    <w:spacing w:before="48" w:beforeLines="20" w:after="48" w:afterLines="20"/>
                    <w:jc w:val="center"/>
                    <w:textAlignment w:val="center"/>
                    <w:rPr>
                      <w:b/>
                      <w:bCs/>
                      <w:szCs w:val="21"/>
                    </w:rPr>
                  </w:pPr>
                  <w:r>
                    <w:rPr>
                      <w:b/>
                      <w:bCs/>
                      <w:szCs w:val="21"/>
                    </w:rPr>
                    <w:t>内径m</w:t>
                  </w:r>
                </w:p>
              </w:tc>
              <w:tc>
                <w:tcPr>
                  <w:tcW w:w="166" w:type="pct"/>
                  <w:vAlign w:val="center"/>
                </w:tcPr>
                <w:p w14:paraId="5B4737EB">
                  <w:pPr>
                    <w:widowControl/>
                    <w:adjustRightInd w:val="0"/>
                    <w:snapToGrid w:val="0"/>
                    <w:spacing w:before="48" w:beforeLines="20" w:after="48" w:afterLines="20"/>
                    <w:jc w:val="center"/>
                    <w:textAlignment w:val="center"/>
                    <w:rPr>
                      <w:b/>
                      <w:bCs/>
                      <w:szCs w:val="21"/>
                    </w:rPr>
                  </w:pPr>
                  <w:r>
                    <w:rPr>
                      <w:b/>
                      <w:bCs/>
                      <w:szCs w:val="21"/>
                    </w:rPr>
                    <w:t>温度℃</w:t>
                  </w:r>
                </w:p>
              </w:tc>
              <w:tc>
                <w:tcPr>
                  <w:tcW w:w="233" w:type="pct"/>
                  <w:vAlign w:val="center"/>
                </w:tcPr>
                <w:p w14:paraId="78EFC57C">
                  <w:pPr>
                    <w:widowControl/>
                    <w:adjustRightInd w:val="0"/>
                    <w:snapToGrid w:val="0"/>
                    <w:spacing w:before="48" w:beforeLines="20" w:after="48" w:afterLines="20"/>
                    <w:jc w:val="center"/>
                    <w:textAlignment w:val="center"/>
                    <w:rPr>
                      <w:b/>
                      <w:bCs/>
                      <w:szCs w:val="21"/>
                    </w:rPr>
                  </w:pPr>
                  <w:r>
                    <w:rPr>
                      <w:b/>
                      <w:bCs/>
                      <w:szCs w:val="21"/>
                    </w:rPr>
                    <w:t>类型</w:t>
                  </w:r>
                </w:p>
              </w:tc>
              <w:tc>
                <w:tcPr>
                  <w:tcW w:w="214" w:type="pct"/>
                  <w:vAlign w:val="center"/>
                </w:tcPr>
                <w:p w14:paraId="13FBE4E7">
                  <w:pPr>
                    <w:widowControl/>
                    <w:adjustRightInd w:val="0"/>
                    <w:snapToGrid w:val="0"/>
                    <w:spacing w:before="48" w:beforeLines="20" w:after="48" w:afterLines="20"/>
                    <w:jc w:val="center"/>
                    <w:textAlignment w:val="center"/>
                    <w:rPr>
                      <w:b/>
                      <w:bCs/>
                      <w:szCs w:val="21"/>
                    </w:rPr>
                  </w:pPr>
                  <w:r>
                    <w:rPr>
                      <w:b/>
                      <w:bCs/>
                      <w:szCs w:val="21"/>
                    </w:rPr>
                    <w:t>浓度mg/</w:t>
                  </w:r>
                  <w:r>
                    <w:t>m</w:t>
                  </w:r>
                  <w:r>
                    <w:rPr>
                      <w:vertAlign w:val="superscript"/>
                    </w:rPr>
                    <w:t>3</w:t>
                  </w:r>
                </w:p>
              </w:tc>
              <w:tc>
                <w:tcPr>
                  <w:tcW w:w="177" w:type="pct"/>
                  <w:vAlign w:val="center"/>
                </w:tcPr>
                <w:p w14:paraId="28DD3AF3">
                  <w:pPr>
                    <w:widowControl/>
                    <w:adjustRightInd w:val="0"/>
                    <w:snapToGrid w:val="0"/>
                    <w:spacing w:before="48" w:beforeLines="20" w:after="48" w:afterLines="20"/>
                    <w:jc w:val="center"/>
                    <w:textAlignment w:val="center"/>
                    <w:rPr>
                      <w:b/>
                      <w:bCs/>
                      <w:szCs w:val="21"/>
                    </w:rPr>
                  </w:pPr>
                  <w:r>
                    <w:rPr>
                      <w:b/>
                      <w:bCs/>
                      <w:szCs w:val="21"/>
                    </w:rPr>
                    <w:t>速率kg/h</w:t>
                  </w:r>
                </w:p>
              </w:tc>
            </w:tr>
            <w:tr w14:paraId="6054A3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91" w:type="pct"/>
                  <w:vMerge w:val="restart"/>
                  <w:vAlign w:val="center"/>
                </w:tcPr>
                <w:p w14:paraId="4A87AD68">
                  <w:pPr>
                    <w:pStyle w:val="38"/>
                    <w:rPr>
                      <w:rFonts w:hint="default" w:eastAsia="宋体"/>
                      <w:lang w:val="en-US" w:eastAsia="zh-CN"/>
                    </w:rPr>
                  </w:pPr>
                  <w:r>
                    <w:rPr>
                      <w:rFonts w:hint="eastAsia"/>
                      <w:lang w:val="en-US" w:eastAsia="zh-CN"/>
                    </w:rPr>
                    <w:t>生活污水处理</w:t>
                  </w:r>
                </w:p>
              </w:tc>
              <w:tc>
                <w:tcPr>
                  <w:tcW w:w="90" w:type="pct"/>
                  <w:vMerge w:val="restart"/>
                  <w:vAlign w:val="center"/>
                </w:tcPr>
                <w:p w14:paraId="2660C15A">
                  <w:pPr>
                    <w:spacing w:line="240" w:lineRule="atLeast"/>
                    <w:jc w:val="center"/>
                    <w:rPr>
                      <w:szCs w:val="21"/>
                    </w:rPr>
                  </w:pPr>
                  <w:r>
                    <w:rPr>
                      <w:szCs w:val="21"/>
                    </w:rPr>
                    <w:t>有组织</w:t>
                  </w:r>
                </w:p>
              </w:tc>
              <w:tc>
                <w:tcPr>
                  <w:tcW w:w="229" w:type="pct"/>
                  <w:vAlign w:val="center"/>
                </w:tcPr>
                <w:p w14:paraId="5B201469">
                  <w:pPr>
                    <w:widowControl/>
                    <w:jc w:val="center"/>
                    <w:textAlignment w:val="center"/>
                    <w:rPr>
                      <w:rFonts w:ascii="宋体" w:hAnsi="宋体" w:cs="宋体"/>
                      <w:color w:val="000000"/>
                      <w:kern w:val="0"/>
                      <w:szCs w:val="21"/>
                      <w:lang w:bidi="ar"/>
                    </w:rPr>
                  </w:pPr>
                  <w:r>
                    <w:rPr>
                      <w:rFonts w:hint="eastAsia"/>
                      <w:szCs w:val="21"/>
                    </w:rPr>
                    <w:t>氨</w:t>
                  </w:r>
                </w:p>
              </w:tc>
              <w:tc>
                <w:tcPr>
                  <w:tcW w:w="194" w:type="pct"/>
                  <w:vMerge w:val="restart"/>
                  <w:tcBorders>
                    <w:right w:val="single" w:color="auto" w:sz="4" w:space="0"/>
                  </w:tcBorders>
                  <w:vAlign w:val="center"/>
                </w:tcPr>
                <w:p w14:paraId="51FC6576">
                  <w:pPr>
                    <w:spacing w:line="240" w:lineRule="atLeast"/>
                    <w:jc w:val="center"/>
                    <w:rPr>
                      <w:rFonts w:hint="default" w:eastAsia="宋体"/>
                      <w:szCs w:val="21"/>
                      <w:lang w:val="en-US" w:eastAsia="zh-CN"/>
                    </w:rPr>
                  </w:pPr>
                  <w:r>
                    <w:rPr>
                      <w:rFonts w:hint="eastAsia"/>
                      <w:szCs w:val="21"/>
                      <w:lang w:val="en-US" w:eastAsia="zh-CN"/>
                    </w:rPr>
                    <w:t>6500</w:t>
                  </w:r>
                </w:p>
              </w:tc>
              <w:tc>
                <w:tcPr>
                  <w:tcW w:w="696" w:type="dxa"/>
                  <w:tcBorders>
                    <w:left w:val="single" w:color="auto" w:sz="4" w:space="0"/>
                  </w:tcBorders>
                  <w:vAlign w:val="center"/>
                </w:tcPr>
                <w:p w14:paraId="71D17CA4">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1.550 </w:t>
                  </w:r>
                </w:p>
              </w:tc>
              <w:tc>
                <w:tcPr>
                  <w:tcW w:w="705" w:type="dxa"/>
                  <w:vAlign w:val="center"/>
                </w:tcPr>
                <w:p w14:paraId="798AE329">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0.010 </w:t>
                  </w:r>
                </w:p>
              </w:tc>
              <w:tc>
                <w:tcPr>
                  <w:tcW w:w="794" w:type="dxa"/>
                  <w:vAlign w:val="center"/>
                </w:tcPr>
                <w:p w14:paraId="17A14478">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0.088 </w:t>
                  </w:r>
                </w:p>
              </w:tc>
              <w:tc>
                <w:tcPr>
                  <w:tcW w:w="174" w:type="pct"/>
                  <w:vMerge w:val="restart"/>
                  <w:vAlign w:val="center"/>
                </w:tcPr>
                <w:p w14:paraId="7FA113F3">
                  <w:pPr>
                    <w:spacing w:line="240" w:lineRule="atLeast"/>
                    <w:jc w:val="center"/>
                    <w:rPr>
                      <w:szCs w:val="21"/>
                    </w:rPr>
                  </w:pPr>
                  <w:r>
                    <w:rPr>
                      <w:rFonts w:hint="eastAsia"/>
                      <w:szCs w:val="21"/>
                    </w:rPr>
                    <w:t>90</w:t>
                  </w:r>
                </w:p>
              </w:tc>
              <w:tc>
                <w:tcPr>
                  <w:tcW w:w="180" w:type="pct"/>
                  <w:vMerge w:val="restart"/>
                  <w:vAlign w:val="center"/>
                </w:tcPr>
                <w:p w14:paraId="126BAB3C">
                  <w:pPr>
                    <w:spacing w:line="240" w:lineRule="atLeast"/>
                    <w:jc w:val="center"/>
                    <w:rPr>
                      <w:szCs w:val="21"/>
                    </w:rPr>
                  </w:pPr>
                  <w:r>
                    <w:rPr>
                      <w:rFonts w:hint="eastAsia"/>
                      <w:szCs w:val="21"/>
                    </w:rPr>
                    <w:t>90</w:t>
                  </w:r>
                </w:p>
              </w:tc>
              <w:tc>
                <w:tcPr>
                  <w:tcW w:w="176" w:type="pct"/>
                  <w:vMerge w:val="restart"/>
                  <w:vAlign w:val="center"/>
                </w:tcPr>
                <w:p w14:paraId="56E48045">
                  <w:pPr>
                    <w:spacing w:line="240" w:lineRule="atLeast"/>
                    <w:jc w:val="center"/>
                    <w:rPr>
                      <w:szCs w:val="21"/>
                    </w:rPr>
                  </w:pPr>
                  <w:r>
                    <w:rPr>
                      <w:rFonts w:hint="eastAsia"/>
                      <w:szCs w:val="21"/>
                    </w:rPr>
                    <w:t>是</w:t>
                  </w:r>
                </w:p>
              </w:tc>
              <w:tc>
                <w:tcPr>
                  <w:tcW w:w="312" w:type="pct"/>
                  <w:vMerge w:val="restart"/>
                  <w:vAlign w:val="center"/>
                </w:tcPr>
                <w:p w14:paraId="017515B4">
                  <w:pPr>
                    <w:spacing w:line="240" w:lineRule="atLeast"/>
                    <w:jc w:val="center"/>
                    <w:rPr>
                      <w:rFonts w:hint="default" w:eastAsia="宋体"/>
                      <w:szCs w:val="21"/>
                      <w:lang w:val="en-US" w:eastAsia="zh-CN"/>
                    </w:rPr>
                  </w:pPr>
                  <w:r>
                    <w:rPr>
                      <w:rFonts w:hint="eastAsia"/>
                      <w:szCs w:val="21"/>
                    </w:rPr>
                    <w:t>UV光氧光解催化</w:t>
                  </w:r>
                  <w:r>
                    <w:rPr>
                      <w:rFonts w:hint="eastAsia"/>
                      <w:szCs w:val="21"/>
                      <w:lang w:val="en-US" w:eastAsia="zh-CN"/>
                    </w:rPr>
                    <w:t>+15m高排气筒</w:t>
                  </w:r>
                </w:p>
              </w:tc>
              <w:tc>
                <w:tcPr>
                  <w:tcW w:w="733" w:type="dxa"/>
                  <w:vAlign w:val="center"/>
                </w:tcPr>
                <w:p w14:paraId="2A23D8E5">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0.155 </w:t>
                  </w:r>
                </w:p>
              </w:tc>
              <w:tc>
                <w:tcPr>
                  <w:tcW w:w="634" w:type="dxa"/>
                  <w:vAlign w:val="center"/>
                </w:tcPr>
                <w:p w14:paraId="5B08C327">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c>
                <w:tcPr>
                  <w:tcW w:w="650" w:type="dxa"/>
                  <w:vAlign w:val="center"/>
                </w:tcPr>
                <w:p w14:paraId="21ED818C">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0.009 </w:t>
                  </w:r>
                </w:p>
              </w:tc>
              <w:tc>
                <w:tcPr>
                  <w:tcW w:w="305" w:type="pct"/>
                  <w:vMerge w:val="restart"/>
                  <w:vAlign w:val="center"/>
                </w:tcPr>
                <w:p w14:paraId="495D1DFE">
                  <w:pPr>
                    <w:spacing w:line="240" w:lineRule="atLeast"/>
                    <w:jc w:val="center"/>
                    <w:rPr>
                      <w:rFonts w:hint="eastAsia" w:eastAsia="宋体"/>
                      <w:szCs w:val="21"/>
                      <w:lang w:eastAsia="zh-CN"/>
                    </w:rPr>
                  </w:pPr>
                  <w:r>
                    <w:rPr>
                      <w:szCs w:val="21"/>
                    </w:rPr>
                    <w:t>DA00</w:t>
                  </w:r>
                  <w:r>
                    <w:rPr>
                      <w:rFonts w:hint="eastAsia"/>
                      <w:szCs w:val="21"/>
                      <w:lang w:val="en-US" w:eastAsia="zh-CN"/>
                    </w:rPr>
                    <w:t>1</w:t>
                  </w:r>
                </w:p>
                <w:p w14:paraId="7663AF93">
                  <w:pPr>
                    <w:spacing w:line="240" w:lineRule="atLeast"/>
                    <w:jc w:val="center"/>
                    <w:rPr>
                      <w:szCs w:val="21"/>
                    </w:rPr>
                  </w:pPr>
                  <w:r>
                    <w:rPr>
                      <w:rFonts w:hint="eastAsia"/>
                      <w:szCs w:val="21"/>
                      <w:lang w:val="en-US" w:eastAsia="zh-CN"/>
                    </w:rPr>
                    <w:t>污水处理</w:t>
                  </w:r>
                  <w:r>
                    <w:rPr>
                      <w:szCs w:val="21"/>
                    </w:rPr>
                    <w:t>废气</w:t>
                  </w:r>
                  <w:r>
                    <w:rPr>
                      <w:rFonts w:hint="eastAsia"/>
                      <w:szCs w:val="21"/>
                    </w:rPr>
                    <w:t>排放口</w:t>
                  </w:r>
                </w:p>
              </w:tc>
              <w:tc>
                <w:tcPr>
                  <w:tcW w:w="611" w:type="pct"/>
                  <w:vMerge w:val="restart"/>
                  <w:vAlign w:val="center"/>
                </w:tcPr>
                <w:p w14:paraId="6A13343A">
                  <w:pPr>
                    <w:spacing w:line="240" w:lineRule="atLeast"/>
                    <w:jc w:val="center"/>
                    <w:rPr>
                      <w:szCs w:val="21"/>
                    </w:rPr>
                  </w:pPr>
                </w:p>
              </w:tc>
              <w:tc>
                <w:tcPr>
                  <w:tcW w:w="116" w:type="pct"/>
                  <w:vMerge w:val="restart"/>
                  <w:vAlign w:val="center"/>
                </w:tcPr>
                <w:p w14:paraId="6F110DDD">
                  <w:pPr>
                    <w:spacing w:line="240" w:lineRule="atLeast"/>
                    <w:jc w:val="center"/>
                    <w:rPr>
                      <w:szCs w:val="21"/>
                    </w:rPr>
                  </w:pPr>
                  <w:r>
                    <w:rPr>
                      <w:rFonts w:hint="eastAsia"/>
                      <w:szCs w:val="21"/>
                      <w:lang w:val="en-US" w:eastAsia="zh-CN"/>
                    </w:rPr>
                    <w:t>1</w:t>
                  </w:r>
                  <w:r>
                    <w:rPr>
                      <w:rFonts w:hint="eastAsia"/>
                      <w:szCs w:val="21"/>
                    </w:rPr>
                    <w:t>5</w:t>
                  </w:r>
                </w:p>
              </w:tc>
              <w:tc>
                <w:tcPr>
                  <w:tcW w:w="107" w:type="pct"/>
                  <w:vMerge w:val="restart"/>
                  <w:vAlign w:val="center"/>
                </w:tcPr>
                <w:p w14:paraId="7394B3DB">
                  <w:pPr>
                    <w:spacing w:line="240" w:lineRule="atLeast"/>
                    <w:jc w:val="center"/>
                    <w:rPr>
                      <w:rFonts w:hint="eastAsia" w:eastAsia="宋体"/>
                      <w:szCs w:val="21"/>
                      <w:lang w:eastAsia="zh-CN"/>
                    </w:rPr>
                  </w:pPr>
                  <w:r>
                    <w:rPr>
                      <w:szCs w:val="21"/>
                    </w:rPr>
                    <w:t>0.</w:t>
                  </w:r>
                  <w:r>
                    <w:rPr>
                      <w:rFonts w:hint="eastAsia"/>
                      <w:szCs w:val="21"/>
                      <w:lang w:val="en-US" w:eastAsia="zh-CN"/>
                    </w:rPr>
                    <w:t>2</w:t>
                  </w:r>
                </w:p>
              </w:tc>
              <w:tc>
                <w:tcPr>
                  <w:tcW w:w="166" w:type="pct"/>
                  <w:vMerge w:val="restart"/>
                  <w:vAlign w:val="center"/>
                </w:tcPr>
                <w:p w14:paraId="43026C3A">
                  <w:pPr>
                    <w:spacing w:line="240" w:lineRule="atLeast"/>
                    <w:jc w:val="center"/>
                    <w:rPr>
                      <w:szCs w:val="21"/>
                    </w:rPr>
                  </w:pPr>
                  <w:r>
                    <w:rPr>
                      <w:rFonts w:hint="eastAsia"/>
                      <w:szCs w:val="21"/>
                    </w:rPr>
                    <w:t>25</w:t>
                  </w:r>
                </w:p>
              </w:tc>
              <w:tc>
                <w:tcPr>
                  <w:tcW w:w="233" w:type="pct"/>
                  <w:vMerge w:val="restart"/>
                  <w:vAlign w:val="center"/>
                </w:tcPr>
                <w:p w14:paraId="091AA2A8">
                  <w:pPr>
                    <w:spacing w:line="240" w:lineRule="atLeast"/>
                    <w:jc w:val="center"/>
                    <w:rPr>
                      <w:szCs w:val="21"/>
                    </w:rPr>
                  </w:pPr>
                  <w:r>
                    <w:rPr>
                      <w:szCs w:val="21"/>
                    </w:rPr>
                    <w:t>一般排放口</w:t>
                  </w:r>
                </w:p>
              </w:tc>
              <w:tc>
                <w:tcPr>
                  <w:tcW w:w="214" w:type="pct"/>
                  <w:vAlign w:val="center"/>
                </w:tcPr>
                <w:p w14:paraId="1A7647DD">
                  <w:pPr>
                    <w:pStyle w:val="38"/>
                  </w:pPr>
                  <w:r>
                    <w:rPr>
                      <w:rFonts w:hint="eastAsia"/>
                    </w:rPr>
                    <w:t>/</w:t>
                  </w:r>
                </w:p>
              </w:tc>
              <w:tc>
                <w:tcPr>
                  <w:tcW w:w="177" w:type="pct"/>
                  <w:vAlign w:val="center"/>
                </w:tcPr>
                <w:p w14:paraId="3F2173F1">
                  <w:pPr>
                    <w:pStyle w:val="38"/>
                  </w:pPr>
                  <w:r>
                    <w:rPr>
                      <w:rFonts w:hint="eastAsia"/>
                    </w:rPr>
                    <w:t>4.9</w:t>
                  </w:r>
                </w:p>
              </w:tc>
            </w:tr>
            <w:tr w14:paraId="14090B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91" w:type="pct"/>
                  <w:vMerge w:val="continue"/>
                  <w:vAlign w:val="center"/>
                </w:tcPr>
                <w:p w14:paraId="10C17676">
                  <w:pPr>
                    <w:spacing w:line="240" w:lineRule="atLeast"/>
                    <w:jc w:val="center"/>
                    <w:rPr>
                      <w:szCs w:val="21"/>
                    </w:rPr>
                  </w:pPr>
                </w:p>
              </w:tc>
              <w:tc>
                <w:tcPr>
                  <w:tcW w:w="90" w:type="pct"/>
                  <w:vMerge w:val="continue"/>
                  <w:vAlign w:val="center"/>
                </w:tcPr>
                <w:p w14:paraId="61A3E5CA">
                  <w:pPr>
                    <w:spacing w:line="240" w:lineRule="atLeast"/>
                    <w:jc w:val="center"/>
                    <w:rPr>
                      <w:szCs w:val="21"/>
                    </w:rPr>
                  </w:pPr>
                </w:p>
              </w:tc>
              <w:tc>
                <w:tcPr>
                  <w:tcW w:w="229" w:type="pct"/>
                  <w:vAlign w:val="center"/>
                </w:tcPr>
                <w:p w14:paraId="13FA94AE">
                  <w:pPr>
                    <w:widowControl/>
                    <w:jc w:val="center"/>
                    <w:textAlignment w:val="center"/>
                    <w:rPr>
                      <w:rFonts w:ascii="宋体" w:hAnsi="宋体" w:cs="宋体"/>
                      <w:color w:val="000000"/>
                      <w:kern w:val="0"/>
                      <w:szCs w:val="21"/>
                      <w:lang w:bidi="ar"/>
                    </w:rPr>
                  </w:pPr>
                  <w:r>
                    <w:rPr>
                      <w:rFonts w:hint="eastAsia"/>
                      <w:szCs w:val="21"/>
                    </w:rPr>
                    <w:t>硫化氢</w:t>
                  </w:r>
                </w:p>
              </w:tc>
              <w:tc>
                <w:tcPr>
                  <w:tcW w:w="194" w:type="pct"/>
                  <w:vMerge w:val="continue"/>
                  <w:tcBorders>
                    <w:right w:val="single" w:color="auto" w:sz="4" w:space="0"/>
                  </w:tcBorders>
                  <w:vAlign w:val="center"/>
                </w:tcPr>
                <w:p w14:paraId="7BEB37D6">
                  <w:pPr>
                    <w:spacing w:line="240" w:lineRule="atLeast"/>
                    <w:jc w:val="center"/>
                    <w:rPr>
                      <w:szCs w:val="21"/>
                    </w:rPr>
                  </w:pPr>
                </w:p>
              </w:tc>
              <w:tc>
                <w:tcPr>
                  <w:tcW w:w="696" w:type="dxa"/>
                  <w:tcBorders>
                    <w:left w:val="single" w:color="auto" w:sz="4" w:space="0"/>
                  </w:tcBorders>
                  <w:vAlign w:val="center"/>
                </w:tcPr>
                <w:p w14:paraId="5DF8A99D">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0.007 </w:t>
                  </w:r>
                </w:p>
              </w:tc>
              <w:tc>
                <w:tcPr>
                  <w:tcW w:w="705" w:type="dxa"/>
                  <w:vAlign w:val="center"/>
                </w:tcPr>
                <w:p w14:paraId="2277D4BD">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0.00004 </w:t>
                  </w:r>
                </w:p>
              </w:tc>
              <w:tc>
                <w:tcPr>
                  <w:tcW w:w="794" w:type="dxa"/>
                  <w:vAlign w:val="center"/>
                </w:tcPr>
                <w:p w14:paraId="3A12F6C0">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0.000</w:t>
                  </w:r>
                  <w:r>
                    <w:rPr>
                      <w:rFonts w:hint="eastAsia"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74" w:type="pct"/>
                  <w:vMerge w:val="continue"/>
                  <w:vAlign w:val="center"/>
                </w:tcPr>
                <w:p w14:paraId="10AFB341">
                  <w:pPr>
                    <w:spacing w:line="240" w:lineRule="atLeast"/>
                    <w:jc w:val="center"/>
                    <w:rPr>
                      <w:szCs w:val="21"/>
                    </w:rPr>
                  </w:pPr>
                </w:p>
              </w:tc>
              <w:tc>
                <w:tcPr>
                  <w:tcW w:w="180" w:type="pct"/>
                  <w:vMerge w:val="continue"/>
                  <w:vAlign w:val="center"/>
                </w:tcPr>
                <w:p w14:paraId="0F5A893D">
                  <w:pPr>
                    <w:spacing w:line="240" w:lineRule="atLeast"/>
                    <w:jc w:val="center"/>
                    <w:rPr>
                      <w:szCs w:val="21"/>
                    </w:rPr>
                  </w:pPr>
                </w:p>
              </w:tc>
              <w:tc>
                <w:tcPr>
                  <w:tcW w:w="176" w:type="pct"/>
                  <w:vMerge w:val="continue"/>
                  <w:vAlign w:val="center"/>
                </w:tcPr>
                <w:p w14:paraId="66BA58C2">
                  <w:pPr>
                    <w:spacing w:line="240" w:lineRule="atLeast"/>
                    <w:jc w:val="center"/>
                    <w:rPr>
                      <w:szCs w:val="21"/>
                    </w:rPr>
                  </w:pPr>
                </w:p>
              </w:tc>
              <w:tc>
                <w:tcPr>
                  <w:tcW w:w="312" w:type="pct"/>
                  <w:vMerge w:val="continue"/>
                  <w:vAlign w:val="center"/>
                </w:tcPr>
                <w:p w14:paraId="1CB8AF7F">
                  <w:pPr>
                    <w:spacing w:line="240" w:lineRule="atLeast"/>
                    <w:jc w:val="center"/>
                    <w:rPr>
                      <w:szCs w:val="21"/>
                    </w:rPr>
                  </w:pPr>
                </w:p>
              </w:tc>
              <w:tc>
                <w:tcPr>
                  <w:tcW w:w="733" w:type="dxa"/>
                  <w:vAlign w:val="center"/>
                </w:tcPr>
                <w:p w14:paraId="2AF2B6EA">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c>
                <w:tcPr>
                  <w:tcW w:w="634" w:type="dxa"/>
                  <w:vAlign w:val="center"/>
                </w:tcPr>
                <w:p w14:paraId="1E36EC9D">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 xml:space="preserve">0.000004 </w:t>
                  </w:r>
                </w:p>
              </w:tc>
              <w:tc>
                <w:tcPr>
                  <w:tcW w:w="650" w:type="dxa"/>
                  <w:vAlign w:val="center"/>
                </w:tcPr>
                <w:p w14:paraId="6B5C3C39">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0.0000</w:t>
                  </w:r>
                  <w:r>
                    <w:rPr>
                      <w:rFonts w:hint="eastAsia"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305" w:type="pct"/>
                  <w:vMerge w:val="continue"/>
                  <w:vAlign w:val="center"/>
                </w:tcPr>
                <w:p w14:paraId="79563989">
                  <w:pPr>
                    <w:spacing w:line="240" w:lineRule="atLeast"/>
                    <w:jc w:val="center"/>
                    <w:rPr>
                      <w:szCs w:val="21"/>
                    </w:rPr>
                  </w:pPr>
                </w:p>
              </w:tc>
              <w:tc>
                <w:tcPr>
                  <w:tcW w:w="611" w:type="pct"/>
                  <w:vMerge w:val="continue"/>
                  <w:vAlign w:val="center"/>
                </w:tcPr>
                <w:p w14:paraId="300975DC">
                  <w:pPr>
                    <w:spacing w:line="240" w:lineRule="atLeast"/>
                    <w:jc w:val="center"/>
                    <w:rPr>
                      <w:szCs w:val="21"/>
                    </w:rPr>
                  </w:pPr>
                </w:p>
              </w:tc>
              <w:tc>
                <w:tcPr>
                  <w:tcW w:w="116" w:type="pct"/>
                  <w:vMerge w:val="continue"/>
                  <w:vAlign w:val="center"/>
                </w:tcPr>
                <w:p w14:paraId="35737EE0">
                  <w:pPr>
                    <w:spacing w:line="240" w:lineRule="atLeast"/>
                    <w:jc w:val="center"/>
                    <w:rPr>
                      <w:szCs w:val="21"/>
                    </w:rPr>
                  </w:pPr>
                </w:p>
              </w:tc>
              <w:tc>
                <w:tcPr>
                  <w:tcW w:w="107" w:type="pct"/>
                  <w:vMerge w:val="continue"/>
                  <w:vAlign w:val="center"/>
                </w:tcPr>
                <w:p w14:paraId="06C07561">
                  <w:pPr>
                    <w:spacing w:line="240" w:lineRule="atLeast"/>
                    <w:jc w:val="center"/>
                    <w:rPr>
                      <w:szCs w:val="21"/>
                    </w:rPr>
                  </w:pPr>
                </w:p>
              </w:tc>
              <w:tc>
                <w:tcPr>
                  <w:tcW w:w="166" w:type="pct"/>
                  <w:vMerge w:val="continue"/>
                  <w:vAlign w:val="center"/>
                </w:tcPr>
                <w:p w14:paraId="2BFD0C36">
                  <w:pPr>
                    <w:spacing w:line="240" w:lineRule="atLeast"/>
                    <w:jc w:val="center"/>
                    <w:rPr>
                      <w:szCs w:val="21"/>
                    </w:rPr>
                  </w:pPr>
                </w:p>
              </w:tc>
              <w:tc>
                <w:tcPr>
                  <w:tcW w:w="233" w:type="pct"/>
                  <w:vMerge w:val="continue"/>
                  <w:vAlign w:val="center"/>
                </w:tcPr>
                <w:p w14:paraId="3BF343EC">
                  <w:pPr>
                    <w:spacing w:line="240" w:lineRule="atLeast"/>
                    <w:jc w:val="center"/>
                    <w:rPr>
                      <w:szCs w:val="21"/>
                    </w:rPr>
                  </w:pPr>
                </w:p>
              </w:tc>
              <w:tc>
                <w:tcPr>
                  <w:tcW w:w="214" w:type="pct"/>
                  <w:vAlign w:val="center"/>
                </w:tcPr>
                <w:p w14:paraId="55FEB3D4">
                  <w:pPr>
                    <w:pStyle w:val="38"/>
                  </w:pPr>
                  <w:r>
                    <w:rPr>
                      <w:rFonts w:hint="eastAsia"/>
                    </w:rPr>
                    <w:t>/</w:t>
                  </w:r>
                </w:p>
              </w:tc>
              <w:tc>
                <w:tcPr>
                  <w:tcW w:w="177" w:type="pct"/>
                  <w:vAlign w:val="center"/>
                </w:tcPr>
                <w:p w14:paraId="1F99917F">
                  <w:pPr>
                    <w:pStyle w:val="38"/>
                  </w:pPr>
                  <w:r>
                    <w:rPr>
                      <w:rFonts w:hint="eastAsia"/>
                    </w:rPr>
                    <w:t>0.33</w:t>
                  </w:r>
                </w:p>
              </w:tc>
            </w:tr>
            <w:tr w14:paraId="5DE6DB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91" w:type="pct"/>
                  <w:vMerge w:val="continue"/>
                  <w:vAlign w:val="center"/>
                </w:tcPr>
                <w:p w14:paraId="67E454C9">
                  <w:pPr>
                    <w:pStyle w:val="38"/>
                    <w:rPr>
                      <w:rFonts w:hint="eastAsia" w:eastAsia="宋体"/>
                      <w:lang w:eastAsia="zh-CN"/>
                    </w:rPr>
                  </w:pPr>
                </w:p>
              </w:tc>
              <w:tc>
                <w:tcPr>
                  <w:tcW w:w="90" w:type="pct"/>
                  <w:vMerge w:val="restart"/>
                  <w:vAlign w:val="center"/>
                </w:tcPr>
                <w:p w14:paraId="65CF46EC">
                  <w:pPr>
                    <w:spacing w:line="240" w:lineRule="atLeast"/>
                    <w:jc w:val="center"/>
                    <w:rPr>
                      <w:szCs w:val="21"/>
                    </w:rPr>
                  </w:pPr>
                  <w:r>
                    <w:rPr>
                      <w:rFonts w:hint="eastAsia"/>
                      <w:szCs w:val="21"/>
                    </w:rPr>
                    <w:t>无</w:t>
                  </w:r>
                  <w:r>
                    <w:rPr>
                      <w:szCs w:val="21"/>
                    </w:rPr>
                    <w:t>组织</w:t>
                  </w:r>
                </w:p>
              </w:tc>
              <w:tc>
                <w:tcPr>
                  <w:tcW w:w="229" w:type="pct"/>
                  <w:vAlign w:val="center"/>
                </w:tcPr>
                <w:p w14:paraId="5821A39E">
                  <w:pPr>
                    <w:widowControl/>
                    <w:jc w:val="center"/>
                    <w:textAlignment w:val="center"/>
                    <w:rPr>
                      <w:szCs w:val="21"/>
                    </w:rPr>
                  </w:pPr>
                  <w:r>
                    <w:rPr>
                      <w:rFonts w:hint="eastAsia"/>
                      <w:szCs w:val="21"/>
                    </w:rPr>
                    <w:t>氨</w:t>
                  </w:r>
                </w:p>
              </w:tc>
              <w:tc>
                <w:tcPr>
                  <w:tcW w:w="194" w:type="pct"/>
                  <w:vMerge w:val="restart"/>
                  <w:tcBorders>
                    <w:right w:val="single" w:color="auto" w:sz="4" w:space="0"/>
                  </w:tcBorders>
                  <w:vAlign w:val="center"/>
                </w:tcPr>
                <w:p w14:paraId="61CD1637">
                  <w:pPr>
                    <w:spacing w:line="240" w:lineRule="atLeast"/>
                    <w:jc w:val="center"/>
                    <w:rPr>
                      <w:szCs w:val="21"/>
                    </w:rPr>
                  </w:pPr>
                  <w:r>
                    <w:rPr>
                      <w:rFonts w:hint="eastAsia"/>
                      <w:szCs w:val="21"/>
                    </w:rPr>
                    <w:t>/</w:t>
                  </w:r>
                </w:p>
              </w:tc>
              <w:tc>
                <w:tcPr>
                  <w:tcW w:w="696" w:type="dxa"/>
                  <w:tcBorders>
                    <w:left w:val="single" w:color="auto" w:sz="4" w:space="0"/>
                  </w:tcBorders>
                  <w:vAlign w:val="center"/>
                </w:tcPr>
                <w:p w14:paraId="3A5B4969">
                  <w:pPr>
                    <w:pStyle w:val="38"/>
                    <w:bidi w:val="0"/>
                  </w:pPr>
                  <w:r>
                    <w:rPr>
                      <w:rFonts w:hint="default"/>
                      <w:lang w:val="en-US" w:eastAsia="zh-CN"/>
                    </w:rPr>
                    <w:t>/</w:t>
                  </w:r>
                </w:p>
              </w:tc>
              <w:tc>
                <w:tcPr>
                  <w:tcW w:w="705" w:type="dxa"/>
                  <w:vAlign w:val="center"/>
                </w:tcPr>
                <w:p w14:paraId="7ED6CBA6">
                  <w:pPr>
                    <w:pStyle w:val="38"/>
                    <w:bidi w:val="0"/>
                  </w:pPr>
                  <w:r>
                    <w:rPr>
                      <w:rFonts w:hint="default"/>
                      <w:lang w:val="en-US" w:eastAsia="zh-CN"/>
                    </w:rPr>
                    <w:t xml:space="preserve">0.001 </w:t>
                  </w:r>
                </w:p>
              </w:tc>
              <w:tc>
                <w:tcPr>
                  <w:tcW w:w="794" w:type="dxa"/>
                  <w:vAlign w:val="center"/>
                </w:tcPr>
                <w:p w14:paraId="0A54E0C9">
                  <w:pPr>
                    <w:pStyle w:val="38"/>
                    <w:bidi w:val="0"/>
                  </w:pPr>
                  <w:r>
                    <w:rPr>
                      <w:rFonts w:hint="default"/>
                      <w:lang w:val="en-US" w:eastAsia="zh-CN"/>
                    </w:rPr>
                    <w:t xml:space="preserve">0.010 </w:t>
                  </w:r>
                </w:p>
              </w:tc>
              <w:tc>
                <w:tcPr>
                  <w:tcW w:w="174" w:type="pct"/>
                  <w:vAlign w:val="center"/>
                </w:tcPr>
                <w:p w14:paraId="58C73DA6">
                  <w:pPr>
                    <w:spacing w:line="240" w:lineRule="atLeast"/>
                    <w:jc w:val="center"/>
                    <w:rPr>
                      <w:szCs w:val="21"/>
                    </w:rPr>
                  </w:pPr>
                  <w:r>
                    <w:rPr>
                      <w:rFonts w:hint="eastAsia"/>
                      <w:szCs w:val="21"/>
                    </w:rPr>
                    <w:t>/</w:t>
                  </w:r>
                </w:p>
              </w:tc>
              <w:tc>
                <w:tcPr>
                  <w:tcW w:w="180" w:type="pct"/>
                  <w:vAlign w:val="center"/>
                </w:tcPr>
                <w:p w14:paraId="6653BB22">
                  <w:pPr>
                    <w:spacing w:line="240" w:lineRule="atLeast"/>
                    <w:jc w:val="center"/>
                    <w:rPr>
                      <w:szCs w:val="21"/>
                    </w:rPr>
                  </w:pPr>
                  <w:r>
                    <w:rPr>
                      <w:rFonts w:hint="eastAsia"/>
                      <w:szCs w:val="21"/>
                    </w:rPr>
                    <w:t>/</w:t>
                  </w:r>
                </w:p>
              </w:tc>
              <w:tc>
                <w:tcPr>
                  <w:tcW w:w="176" w:type="pct"/>
                  <w:vMerge w:val="restart"/>
                  <w:vAlign w:val="center"/>
                </w:tcPr>
                <w:p w14:paraId="27D66E04">
                  <w:pPr>
                    <w:spacing w:line="240" w:lineRule="atLeast"/>
                    <w:jc w:val="center"/>
                    <w:rPr>
                      <w:szCs w:val="21"/>
                    </w:rPr>
                  </w:pPr>
                  <w:r>
                    <w:rPr>
                      <w:rFonts w:hint="eastAsia"/>
                      <w:szCs w:val="21"/>
                    </w:rPr>
                    <w:t>是</w:t>
                  </w:r>
                </w:p>
              </w:tc>
              <w:tc>
                <w:tcPr>
                  <w:tcW w:w="312" w:type="pct"/>
                  <w:vMerge w:val="restart"/>
                  <w:vAlign w:val="center"/>
                </w:tcPr>
                <w:p w14:paraId="05EC983B">
                  <w:pPr>
                    <w:spacing w:line="240" w:lineRule="atLeast"/>
                    <w:jc w:val="center"/>
                    <w:rPr>
                      <w:rFonts w:hint="default" w:eastAsia="宋体"/>
                      <w:szCs w:val="21"/>
                      <w:lang w:val="en-US" w:eastAsia="zh-CN"/>
                    </w:rPr>
                  </w:pPr>
                  <w:r>
                    <w:rPr>
                      <w:rFonts w:hint="eastAsia"/>
                      <w:szCs w:val="21"/>
                      <w:lang w:val="en-US" w:eastAsia="zh-CN"/>
                    </w:rPr>
                    <w:t>加强通风，设置绿化带</w:t>
                  </w:r>
                </w:p>
              </w:tc>
              <w:tc>
                <w:tcPr>
                  <w:tcW w:w="700" w:type="dxa"/>
                  <w:vAlign w:val="center"/>
                </w:tcPr>
                <w:p w14:paraId="288750CD">
                  <w:pPr>
                    <w:pStyle w:val="38"/>
                    <w:bidi w:val="0"/>
                  </w:pPr>
                  <w:r>
                    <w:rPr>
                      <w:rFonts w:hint="default"/>
                      <w:lang w:val="en-US" w:eastAsia="zh-CN"/>
                    </w:rPr>
                    <w:t>/</w:t>
                  </w:r>
                </w:p>
              </w:tc>
              <w:tc>
                <w:tcPr>
                  <w:tcW w:w="844" w:type="dxa"/>
                  <w:vAlign w:val="center"/>
                </w:tcPr>
                <w:p w14:paraId="626610B1">
                  <w:pPr>
                    <w:pStyle w:val="38"/>
                    <w:bidi w:val="0"/>
                  </w:pPr>
                  <w:r>
                    <w:rPr>
                      <w:rFonts w:hint="default"/>
                      <w:lang w:val="en-US" w:eastAsia="zh-CN"/>
                    </w:rPr>
                    <w:t xml:space="preserve">0.001 </w:t>
                  </w:r>
                </w:p>
              </w:tc>
              <w:tc>
                <w:tcPr>
                  <w:tcW w:w="739" w:type="dxa"/>
                  <w:vAlign w:val="center"/>
                </w:tcPr>
                <w:p w14:paraId="1DE9BDB6">
                  <w:pPr>
                    <w:pStyle w:val="38"/>
                    <w:bidi w:val="0"/>
                  </w:pPr>
                  <w:r>
                    <w:rPr>
                      <w:rFonts w:hint="default"/>
                      <w:lang w:val="en-US" w:eastAsia="zh-CN"/>
                    </w:rPr>
                    <w:t xml:space="preserve">0.010 </w:t>
                  </w:r>
                </w:p>
              </w:tc>
              <w:tc>
                <w:tcPr>
                  <w:tcW w:w="305" w:type="pct"/>
                  <w:vAlign w:val="center"/>
                </w:tcPr>
                <w:p w14:paraId="60201C8F">
                  <w:pPr>
                    <w:spacing w:line="240" w:lineRule="atLeast"/>
                    <w:jc w:val="center"/>
                    <w:rPr>
                      <w:szCs w:val="21"/>
                    </w:rPr>
                  </w:pPr>
                  <w:r>
                    <w:rPr>
                      <w:rFonts w:hint="eastAsia"/>
                      <w:szCs w:val="21"/>
                    </w:rPr>
                    <w:t>/</w:t>
                  </w:r>
                </w:p>
              </w:tc>
              <w:tc>
                <w:tcPr>
                  <w:tcW w:w="611" w:type="pct"/>
                  <w:vAlign w:val="center"/>
                </w:tcPr>
                <w:p w14:paraId="3E03050C">
                  <w:pPr>
                    <w:spacing w:line="240" w:lineRule="atLeast"/>
                    <w:jc w:val="center"/>
                    <w:rPr>
                      <w:szCs w:val="21"/>
                    </w:rPr>
                  </w:pPr>
                  <w:r>
                    <w:rPr>
                      <w:rFonts w:hint="eastAsia"/>
                      <w:szCs w:val="21"/>
                    </w:rPr>
                    <w:t>/</w:t>
                  </w:r>
                </w:p>
              </w:tc>
              <w:tc>
                <w:tcPr>
                  <w:tcW w:w="116" w:type="pct"/>
                  <w:vAlign w:val="center"/>
                </w:tcPr>
                <w:p w14:paraId="1A18A7B3">
                  <w:pPr>
                    <w:spacing w:line="240" w:lineRule="atLeast"/>
                    <w:jc w:val="center"/>
                    <w:rPr>
                      <w:szCs w:val="21"/>
                    </w:rPr>
                  </w:pPr>
                  <w:r>
                    <w:rPr>
                      <w:rFonts w:hint="eastAsia"/>
                      <w:szCs w:val="21"/>
                    </w:rPr>
                    <w:t>/</w:t>
                  </w:r>
                </w:p>
              </w:tc>
              <w:tc>
                <w:tcPr>
                  <w:tcW w:w="107" w:type="pct"/>
                  <w:vAlign w:val="center"/>
                </w:tcPr>
                <w:p w14:paraId="10B05803">
                  <w:pPr>
                    <w:spacing w:line="240" w:lineRule="atLeast"/>
                    <w:jc w:val="center"/>
                    <w:rPr>
                      <w:szCs w:val="21"/>
                    </w:rPr>
                  </w:pPr>
                  <w:r>
                    <w:rPr>
                      <w:rFonts w:hint="eastAsia"/>
                      <w:szCs w:val="21"/>
                    </w:rPr>
                    <w:t>/</w:t>
                  </w:r>
                </w:p>
              </w:tc>
              <w:tc>
                <w:tcPr>
                  <w:tcW w:w="166" w:type="pct"/>
                  <w:vAlign w:val="center"/>
                </w:tcPr>
                <w:p w14:paraId="0675839A">
                  <w:pPr>
                    <w:spacing w:line="240" w:lineRule="atLeast"/>
                    <w:jc w:val="center"/>
                    <w:rPr>
                      <w:szCs w:val="21"/>
                    </w:rPr>
                  </w:pPr>
                  <w:r>
                    <w:rPr>
                      <w:rFonts w:hint="eastAsia"/>
                      <w:szCs w:val="21"/>
                    </w:rPr>
                    <w:t>/</w:t>
                  </w:r>
                </w:p>
              </w:tc>
              <w:tc>
                <w:tcPr>
                  <w:tcW w:w="233" w:type="pct"/>
                  <w:vAlign w:val="center"/>
                </w:tcPr>
                <w:p w14:paraId="322420CC">
                  <w:pPr>
                    <w:spacing w:line="240" w:lineRule="atLeast"/>
                    <w:jc w:val="center"/>
                    <w:rPr>
                      <w:szCs w:val="21"/>
                    </w:rPr>
                  </w:pPr>
                  <w:r>
                    <w:rPr>
                      <w:rFonts w:hint="eastAsia"/>
                      <w:szCs w:val="21"/>
                    </w:rPr>
                    <w:t>/</w:t>
                  </w:r>
                </w:p>
              </w:tc>
              <w:tc>
                <w:tcPr>
                  <w:tcW w:w="214" w:type="pct"/>
                  <w:vAlign w:val="center"/>
                </w:tcPr>
                <w:p w14:paraId="53DCFD18">
                  <w:pPr>
                    <w:pStyle w:val="38"/>
                  </w:pPr>
                  <w:r>
                    <w:rPr>
                      <w:rFonts w:hint="eastAsia"/>
                    </w:rPr>
                    <w:t>1.5</w:t>
                  </w:r>
                </w:p>
              </w:tc>
              <w:tc>
                <w:tcPr>
                  <w:tcW w:w="177" w:type="pct"/>
                  <w:vAlign w:val="center"/>
                </w:tcPr>
                <w:p w14:paraId="509A5B96">
                  <w:pPr>
                    <w:pStyle w:val="38"/>
                  </w:pPr>
                  <w:r>
                    <w:rPr>
                      <w:rFonts w:hint="eastAsia"/>
                    </w:rPr>
                    <w:t>/</w:t>
                  </w:r>
                </w:p>
              </w:tc>
            </w:tr>
            <w:tr w14:paraId="77F7CB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91" w:type="pct"/>
                  <w:vMerge w:val="continue"/>
                  <w:vAlign w:val="center"/>
                </w:tcPr>
                <w:p w14:paraId="5B14DC6D">
                  <w:pPr>
                    <w:spacing w:line="240" w:lineRule="atLeast"/>
                    <w:jc w:val="center"/>
                    <w:rPr>
                      <w:szCs w:val="21"/>
                    </w:rPr>
                  </w:pPr>
                </w:p>
              </w:tc>
              <w:tc>
                <w:tcPr>
                  <w:tcW w:w="90" w:type="pct"/>
                  <w:vMerge w:val="continue"/>
                  <w:vAlign w:val="center"/>
                </w:tcPr>
                <w:p w14:paraId="47FBED45">
                  <w:pPr>
                    <w:spacing w:line="240" w:lineRule="atLeast"/>
                    <w:jc w:val="center"/>
                    <w:rPr>
                      <w:szCs w:val="21"/>
                    </w:rPr>
                  </w:pPr>
                </w:p>
              </w:tc>
              <w:tc>
                <w:tcPr>
                  <w:tcW w:w="229" w:type="pct"/>
                  <w:vAlign w:val="center"/>
                </w:tcPr>
                <w:p w14:paraId="05D14D4C">
                  <w:pPr>
                    <w:widowControl/>
                    <w:jc w:val="center"/>
                    <w:textAlignment w:val="center"/>
                    <w:rPr>
                      <w:szCs w:val="21"/>
                    </w:rPr>
                  </w:pPr>
                  <w:r>
                    <w:rPr>
                      <w:rFonts w:hint="eastAsia"/>
                      <w:szCs w:val="21"/>
                    </w:rPr>
                    <w:t>硫化氢</w:t>
                  </w:r>
                </w:p>
              </w:tc>
              <w:tc>
                <w:tcPr>
                  <w:tcW w:w="194" w:type="pct"/>
                  <w:vMerge w:val="continue"/>
                  <w:tcBorders>
                    <w:right w:val="single" w:color="auto" w:sz="4" w:space="0"/>
                  </w:tcBorders>
                  <w:vAlign w:val="center"/>
                </w:tcPr>
                <w:p w14:paraId="494A4CD6">
                  <w:pPr>
                    <w:spacing w:line="240" w:lineRule="atLeast"/>
                    <w:jc w:val="center"/>
                    <w:rPr>
                      <w:szCs w:val="21"/>
                    </w:rPr>
                  </w:pPr>
                </w:p>
              </w:tc>
              <w:tc>
                <w:tcPr>
                  <w:tcW w:w="696" w:type="dxa"/>
                  <w:tcBorders>
                    <w:left w:val="single" w:color="auto" w:sz="4" w:space="0"/>
                  </w:tcBorders>
                  <w:vAlign w:val="center"/>
                </w:tcPr>
                <w:p w14:paraId="0805EBC0">
                  <w:pPr>
                    <w:pStyle w:val="38"/>
                    <w:bidi w:val="0"/>
                  </w:pPr>
                  <w:r>
                    <w:rPr>
                      <w:rFonts w:hint="default"/>
                      <w:lang w:val="en-US" w:eastAsia="zh-CN"/>
                    </w:rPr>
                    <w:t>/</w:t>
                  </w:r>
                </w:p>
              </w:tc>
              <w:tc>
                <w:tcPr>
                  <w:tcW w:w="705" w:type="dxa"/>
                  <w:vAlign w:val="center"/>
                </w:tcPr>
                <w:p w14:paraId="5AC4904D">
                  <w:pPr>
                    <w:pStyle w:val="38"/>
                    <w:bidi w:val="0"/>
                  </w:pPr>
                  <w:r>
                    <w:rPr>
                      <w:rFonts w:hint="default"/>
                      <w:lang w:val="en-US" w:eastAsia="zh-CN"/>
                    </w:rPr>
                    <w:t xml:space="preserve">0.000005 </w:t>
                  </w:r>
                </w:p>
              </w:tc>
              <w:tc>
                <w:tcPr>
                  <w:tcW w:w="794" w:type="dxa"/>
                  <w:vAlign w:val="center"/>
                </w:tcPr>
                <w:p w14:paraId="4849C7A1">
                  <w:pPr>
                    <w:pStyle w:val="38"/>
                    <w:bidi w:val="0"/>
                  </w:pPr>
                  <w:r>
                    <w:rPr>
                      <w:rFonts w:hint="default"/>
                      <w:lang w:val="en-US" w:eastAsia="zh-CN"/>
                    </w:rPr>
                    <w:t xml:space="preserve">0.000043 </w:t>
                  </w:r>
                </w:p>
              </w:tc>
              <w:tc>
                <w:tcPr>
                  <w:tcW w:w="174" w:type="pct"/>
                  <w:vAlign w:val="center"/>
                </w:tcPr>
                <w:p w14:paraId="38D026E0">
                  <w:pPr>
                    <w:spacing w:line="240" w:lineRule="atLeast"/>
                    <w:jc w:val="center"/>
                    <w:rPr>
                      <w:szCs w:val="21"/>
                    </w:rPr>
                  </w:pPr>
                  <w:r>
                    <w:rPr>
                      <w:rFonts w:hint="eastAsia"/>
                      <w:szCs w:val="21"/>
                    </w:rPr>
                    <w:t>/</w:t>
                  </w:r>
                </w:p>
              </w:tc>
              <w:tc>
                <w:tcPr>
                  <w:tcW w:w="180" w:type="pct"/>
                  <w:vAlign w:val="center"/>
                </w:tcPr>
                <w:p w14:paraId="1A78E022">
                  <w:pPr>
                    <w:spacing w:line="240" w:lineRule="atLeast"/>
                    <w:jc w:val="center"/>
                    <w:rPr>
                      <w:szCs w:val="21"/>
                    </w:rPr>
                  </w:pPr>
                  <w:r>
                    <w:rPr>
                      <w:rFonts w:hint="eastAsia"/>
                      <w:szCs w:val="21"/>
                    </w:rPr>
                    <w:t>/</w:t>
                  </w:r>
                </w:p>
              </w:tc>
              <w:tc>
                <w:tcPr>
                  <w:tcW w:w="176" w:type="pct"/>
                  <w:vMerge w:val="continue"/>
                  <w:vAlign w:val="center"/>
                </w:tcPr>
                <w:p w14:paraId="05AC0687">
                  <w:pPr>
                    <w:spacing w:line="240" w:lineRule="atLeast"/>
                    <w:jc w:val="center"/>
                    <w:rPr>
                      <w:szCs w:val="21"/>
                    </w:rPr>
                  </w:pPr>
                </w:p>
              </w:tc>
              <w:tc>
                <w:tcPr>
                  <w:tcW w:w="312" w:type="pct"/>
                  <w:vMerge w:val="continue"/>
                  <w:vAlign w:val="center"/>
                </w:tcPr>
                <w:p w14:paraId="497DE8C6">
                  <w:pPr>
                    <w:spacing w:line="240" w:lineRule="atLeast"/>
                    <w:jc w:val="center"/>
                    <w:rPr>
                      <w:szCs w:val="21"/>
                    </w:rPr>
                  </w:pPr>
                </w:p>
              </w:tc>
              <w:tc>
                <w:tcPr>
                  <w:tcW w:w="700" w:type="dxa"/>
                  <w:vAlign w:val="center"/>
                </w:tcPr>
                <w:p w14:paraId="5A21BF84">
                  <w:pPr>
                    <w:pStyle w:val="38"/>
                    <w:bidi w:val="0"/>
                  </w:pPr>
                  <w:r>
                    <w:rPr>
                      <w:rFonts w:hint="default"/>
                      <w:lang w:val="en-US" w:eastAsia="zh-CN"/>
                    </w:rPr>
                    <w:t>/</w:t>
                  </w:r>
                </w:p>
              </w:tc>
              <w:tc>
                <w:tcPr>
                  <w:tcW w:w="844" w:type="dxa"/>
                  <w:vAlign w:val="center"/>
                </w:tcPr>
                <w:p w14:paraId="23FFF7F7">
                  <w:pPr>
                    <w:pStyle w:val="38"/>
                    <w:bidi w:val="0"/>
                  </w:pPr>
                  <w:r>
                    <w:rPr>
                      <w:rFonts w:hint="default"/>
                      <w:lang w:val="en-US" w:eastAsia="zh-CN"/>
                    </w:rPr>
                    <w:t xml:space="preserve">0.000005 </w:t>
                  </w:r>
                </w:p>
              </w:tc>
              <w:tc>
                <w:tcPr>
                  <w:tcW w:w="739" w:type="dxa"/>
                  <w:vAlign w:val="center"/>
                </w:tcPr>
                <w:p w14:paraId="401564D2">
                  <w:pPr>
                    <w:pStyle w:val="38"/>
                    <w:bidi w:val="0"/>
                  </w:pPr>
                  <w:r>
                    <w:rPr>
                      <w:rFonts w:hint="default"/>
                      <w:lang w:val="en-US" w:eastAsia="zh-CN"/>
                    </w:rPr>
                    <w:t xml:space="preserve">0.000043 </w:t>
                  </w:r>
                </w:p>
              </w:tc>
              <w:tc>
                <w:tcPr>
                  <w:tcW w:w="305" w:type="pct"/>
                  <w:vAlign w:val="center"/>
                </w:tcPr>
                <w:p w14:paraId="43AF70D5">
                  <w:pPr>
                    <w:spacing w:line="240" w:lineRule="atLeast"/>
                    <w:jc w:val="center"/>
                    <w:rPr>
                      <w:szCs w:val="21"/>
                    </w:rPr>
                  </w:pPr>
                  <w:r>
                    <w:rPr>
                      <w:rFonts w:hint="eastAsia"/>
                      <w:szCs w:val="21"/>
                    </w:rPr>
                    <w:t>/</w:t>
                  </w:r>
                </w:p>
              </w:tc>
              <w:tc>
                <w:tcPr>
                  <w:tcW w:w="611" w:type="pct"/>
                  <w:vAlign w:val="center"/>
                </w:tcPr>
                <w:p w14:paraId="47B7AA35">
                  <w:pPr>
                    <w:spacing w:line="240" w:lineRule="atLeast"/>
                    <w:jc w:val="center"/>
                    <w:rPr>
                      <w:szCs w:val="21"/>
                    </w:rPr>
                  </w:pPr>
                  <w:r>
                    <w:rPr>
                      <w:rFonts w:hint="eastAsia"/>
                      <w:szCs w:val="21"/>
                    </w:rPr>
                    <w:t>/</w:t>
                  </w:r>
                </w:p>
              </w:tc>
              <w:tc>
                <w:tcPr>
                  <w:tcW w:w="116" w:type="pct"/>
                  <w:vAlign w:val="center"/>
                </w:tcPr>
                <w:p w14:paraId="3397FDAE">
                  <w:pPr>
                    <w:spacing w:line="240" w:lineRule="atLeast"/>
                    <w:jc w:val="center"/>
                    <w:rPr>
                      <w:szCs w:val="21"/>
                    </w:rPr>
                  </w:pPr>
                  <w:r>
                    <w:rPr>
                      <w:rFonts w:hint="eastAsia"/>
                      <w:szCs w:val="21"/>
                    </w:rPr>
                    <w:t>/</w:t>
                  </w:r>
                </w:p>
              </w:tc>
              <w:tc>
                <w:tcPr>
                  <w:tcW w:w="107" w:type="pct"/>
                  <w:vAlign w:val="center"/>
                </w:tcPr>
                <w:p w14:paraId="051061E1">
                  <w:pPr>
                    <w:spacing w:line="240" w:lineRule="atLeast"/>
                    <w:jc w:val="center"/>
                    <w:rPr>
                      <w:szCs w:val="21"/>
                    </w:rPr>
                  </w:pPr>
                  <w:r>
                    <w:rPr>
                      <w:rFonts w:hint="eastAsia"/>
                      <w:szCs w:val="21"/>
                    </w:rPr>
                    <w:t>/</w:t>
                  </w:r>
                </w:p>
              </w:tc>
              <w:tc>
                <w:tcPr>
                  <w:tcW w:w="166" w:type="pct"/>
                  <w:vAlign w:val="center"/>
                </w:tcPr>
                <w:p w14:paraId="311D2AB4">
                  <w:pPr>
                    <w:spacing w:line="240" w:lineRule="atLeast"/>
                    <w:jc w:val="center"/>
                    <w:rPr>
                      <w:szCs w:val="21"/>
                    </w:rPr>
                  </w:pPr>
                  <w:r>
                    <w:rPr>
                      <w:rFonts w:hint="eastAsia"/>
                      <w:szCs w:val="21"/>
                    </w:rPr>
                    <w:t>/</w:t>
                  </w:r>
                </w:p>
              </w:tc>
              <w:tc>
                <w:tcPr>
                  <w:tcW w:w="233" w:type="pct"/>
                  <w:vAlign w:val="center"/>
                </w:tcPr>
                <w:p w14:paraId="0DE705A8">
                  <w:pPr>
                    <w:spacing w:line="240" w:lineRule="atLeast"/>
                    <w:jc w:val="center"/>
                    <w:rPr>
                      <w:szCs w:val="21"/>
                    </w:rPr>
                  </w:pPr>
                  <w:r>
                    <w:rPr>
                      <w:rFonts w:hint="eastAsia"/>
                      <w:szCs w:val="21"/>
                    </w:rPr>
                    <w:t>/</w:t>
                  </w:r>
                </w:p>
              </w:tc>
              <w:tc>
                <w:tcPr>
                  <w:tcW w:w="214" w:type="pct"/>
                  <w:vAlign w:val="center"/>
                </w:tcPr>
                <w:p w14:paraId="04562138">
                  <w:pPr>
                    <w:pStyle w:val="38"/>
                  </w:pPr>
                  <w:r>
                    <w:rPr>
                      <w:rFonts w:hint="eastAsia"/>
                    </w:rPr>
                    <w:t>0.06</w:t>
                  </w:r>
                </w:p>
              </w:tc>
              <w:tc>
                <w:tcPr>
                  <w:tcW w:w="177" w:type="pct"/>
                  <w:vAlign w:val="center"/>
                </w:tcPr>
                <w:p w14:paraId="288E142A">
                  <w:pPr>
                    <w:pStyle w:val="38"/>
                  </w:pPr>
                  <w:r>
                    <w:rPr>
                      <w:rFonts w:hint="eastAsia"/>
                    </w:rPr>
                    <w:t>/</w:t>
                  </w:r>
                </w:p>
              </w:tc>
            </w:tr>
          </w:tbl>
          <w:p w14:paraId="4A0A9946">
            <w:pPr>
              <w:adjustRightInd w:val="0"/>
              <w:snapToGrid w:val="0"/>
              <w:spacing w:before="120" w:beforeLines="50" w:line="360" w:lineRule="auto"/>
              <w:ind w:firstLine="482" w:firstLineChars="200"/>
              <w:jc w:val="left"/>
              <w:textAlignment w:val="baseline"/>
              <w:rPr>
                <w:b/>
                <w:bCs/>
                <w:sz w:val="24"/>
              </w:rPr>
            </w:pPr>
          </w:p>
          <w:p w14:paraId="1EF24B67">
            <w:pPr>
              <w:adjustRightInd w:val="0"/>
              <w:snapToGrid w:val="0"/>
              <w:spacing w:before="120" w:beforeLines="50" w:line="360" w:lineRule="auto"/>
              <w:ind w:firstLine="482" w:firstLineChars="200"/>
              <w:jc w:val="left"/>
              <w:textAlignment w:val="baseline"/>
              <w:rPr>
                <w:b/>
                <w:bCs/>
                <w:sz w:val="24"/>
              </w:rPr>
            </w:pPr>
          </w:p>
          <w:p w14:paraId="369DC18E">
            <w:pPr>
              <w:adjustRightInd w:val="0"/>
              <w:snapToGrid w:val="0"/>
              <w:spacing w:before="120" w:beforeLines="50" w:line="360" w:lineRule="auto"/>
              <w:ind w:firstLine="482" w:firstLineChars="200"/>
              <w:jc w:val="left"/>
              <w:textAlignment w:val="baseline"/>
              <w:rPr>
                <w:b/>
                <w:bCs/>
                <w:sz w:val="24"/>
              </w:rPr>
            </w:pPr>
          </w:p>
          <w:p w14:paraId="75AAE842">
            <w:pPr>
              <w:adjustRightInd w:val="0"/>
              <w:snapToGrid w:val="0"/>
              <w:spacing w:before="120" w:beforeLines="50" w:line="360" w:lineRule="auto"/>
              <w:ind w:firstLine="482" w:firstLineChars="200"/>
              <w:jc w:val="left"/>
              <w:textAlignment w:val="baseline"/>
              <w:rPr>
                <w:b/>
                <w:bCs/>
                <w:sz w:val="24"/>
              </w:rPr>
            </w:pPr>
          </w:p>
          <w:p w14:paraId="4FDFEB11">
            <w:pPr>
              <w:adjustRightInd w:val="0"/>
              <w:snapToGrid w:val="0"/>
              <w:spacing w:before="120" w:beforeLines="50" w:line="360" w:lineRule="auto"/>
              <w:ind w:firstLine="482" w:firstLineChars="200"/>
              <w:jc w:val="left"/>
              <w:textAlignment w:val="baseline"/>
              <w:rPr>
                <w:b/>
                <w:bCs/>
                <w:sz w:val="24"/>
              </w:rPr>
            </w:pPr>
          </w:p>
          <w:p w14:paraId="26C9E3D1">
            <w:pPr>
              <w:adjustRightInd w:val="0"/>
              <w:snapToGrid w:val="0"/>
              <w:spacing w:before="120" w:beforeLines="50" w:line="360" w:lineRule="auto"/>
              <w:ind w:firstLine="482" w:firstLineChars="200"/>
              <w:jc w:val="left"/>
              <w:textAlignment w:val="baseline"/>
              <w:rPr>
                <w:b/>
                <w:bCs/>
                <w:sz w:val="24"/>
              </w:rPr>
            </w:pPr>
          </w:p>
          <w:p w14:paraId="557FDC0A">
            <w:pPr>
              <w:adjustRightInd w:val="0"/>
              <w:snapToGrid w:val="0"/>
              <w:spacing w:before="120" w:beforeLines="50" w:line="360" w:lineRule="auto"/>
              <w:ind w:firstLine="482" w:firstLineChars="200"/>
              <w:jc w:val="left"/>
              <w:textAlignment w:val="baseline"/>
              <w:rPr>
                <w:b/>
                <w:bCs/>
                <w:sz w:val="24"/>
              </w:rPr>
            </w:pPr>
          </w:p>
          <w:p w14:paraId="24120517">
            <w:pPr>
              <w:adjustRightInd w:val="0"/>
              <w:snapToGrid w:val="0"/>
              <w:spacing w:before="120" w:beforeLines="50" w:line="360" w:lineRule="auto"/>
              <w:ind w:firstLine="482" w:firstLineChars="200"/>
              <w:jc w:val="left"/>
              <w:textAlignment w:val="baseline"/>
              <w:rPr>
                <w:b/>
                <w:bCs/>
                <w:sz w:val="24"/>
              </w:rPr>
            </w:pPr>
            <w:r>
              <w:rPr>
                <w:rFonts w:hint="eastAsia"/>
                <w:b/>
                <w:bCs/>
                <w:sz w:val="24"/>
              </w:rPr>
              <w:t>（2）非正常工况</w:t>
            </w:r>
          </w:p>
          <w:p w14:paraId="1BBC66CC">
            <w:pPr>
              <w:spacing w:line="360" w:lineRule="auto"/>
              <w:ind w:firstLine="480" w:firstLineChars="200"/>
              <w:rPr>
                <w:sz w:val="24"/>
              </w:rPr>
            </w:pPr>
            <w:r>
              <w:rPr>
                <w:sz w:val="24"/>
              </w:rPr>
              <w:t>本项目废气非正常排放主要指生产过程中废气处理设施发生故障情况下污染物的排放。废气处理设施发生故障情况主要有</w:t>
            </w:r>
            <w:r>
              <w:rPr>
                <w:rFonts w:hint="eastAsia"/>
                <w:sz w:val="24"/>
              </w:rPr>
              <w:t>：</w:t>
            </w:r>
            <w:r>
              <w:rPr>
                <w:sz w:val="24"/>
              </w:rPr>
              <w:t>风管破裂、风机停止运转</w:t>
            </w:r>
            <w:r>
              <w:rPr>
                <w:rFonts w:hint="eastAsia"/>
                <w:sz w:val="24"/>
              </w:rPr>
              <w:t>、</w:t>
            </w:r>
            <w:r>
              <w:rPr>
                <w:rFonts w:hint="eastAsia"/>
                <w:sz w:val="24"/>
                <w:lang w:eastAsia="zh-CN"/>
              </w:rPr>
              <w:t>UV光氧光解催化</w:t>
            </w:r>
            <w:r>
              <w:rPr>
                <w:rFonts w:hint="eastAsia"/>
                <w:sz w:val="24"/>
              </w:rPr>
              <w:t>失去处置效果</w:t>
            </w:r>
            <w:r>
              <w:rPr>
                <w:sz w:val="24"/>
              </w:rPr>
              <w:t>等。考虑废气处理设施出现故障时废气</w:t>
            </w:r>
            <w:r>
              <w:rPr>
                <w:rFonts w:hint="eastAsia"/>
                <w:sz w:val="24"/>
              </w:rPr>
              <w:t>无</w:t>
            </w:r>
            <w:r>
              <w:rPr>
                <w:sz w:val="24"/>
              </w:rPr>
              <w:t>处理效率，污染物直接排放。污染源非正常工况排放量核算表见</w:t>
            </w:r>
            <w:r>
              <w:rPr>
                <w:sz w:val="24"/>
              </w:rPr>
              <w:fldChar w:fldCharType="begin"/>
            </w:r>
            <w:r>
              <w:rPr>
                <w:sz w:val="24"/>
              </w:rPr>
              <w:instrText xml:space="preserve"> REF _Ref3370 \n \h </w:instrText>
            </w:r>
            <w:r>
              <w:rPr>
                <w:sz w:val="24"/>
              </w:rPr>
              <w:fldChar w:fldCharType="separate"/>
            </w:r>
            <w:r>
              <w:rPr>
                <w:sz w:val="24"/>
              </w:rPr>
              <w:t>表4-4</w:t>
            </w:r>
            <w:r>
              <w:rPr>
                <w:sz w:val="24"/>
              </w:rPr>
              <w:fldChar w:fldCharType="end"/>
            </w:r>
            <w:r>
              <w:rPr>
                <w:sz w:val="24"/>
              </w:rPr>
              <w:t>。</w:t>
            </w:r>
          </w:p>
          <w:p w14:paraId="38228D3A">
            <w:pPr>
              <w:pStyle w:val="52"/>
            </w:pPr>
            <w:bookmarkStart w:id="37" w:name="_Ref3370"/>
            <w:r>
              <w:t>废气污染源非正常排放汇总表</w:t>
            </w:r>
            <w:bookmarkEnd w:id="37"/>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500"/>
              <w:gridCol w:w="794"/>
              <w:gridCol w:w="578"/>
              <w:gridCol w:w="670"/>
              <w:gridCol w:w="780"/>
              <w:gridCol w:w="806"/>
              <w:gridCol w:w="899"/>
              <w:gridCol w:w="899"/>
              <w:gridCol w:w="1508"/>
              <w:gridCol w:w="451"/>
              <w:gridCol w:w="498"/>
              <w:gridCol w:w="466"/>
              <w:gridCol w:w="524"/>
              <w:gridCol w:w="3297"/>
              <w:gridCol w:w="1263"/>
            </w:tblGrid>
            <w:tr w14:paraId="1EB13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974" w:type="dxa"/>
                  <w:vMerge w:val="restart"/>
                  <w:vAlign w:val="center"/>
                </w:tcPr>
                <w:p w14:paraId="7EA9395C">
                  <w:pPr>
                    <w:adjustRightInd w:val="0"/>
                    <w:snapToGrid w:val="0"/>
                    <w:spacing w:line="240" w:lineRule="exact"/>
                    <w:jc w:val="center"/>
                    <w:rPr>
                      <w:b/>
                      <w:bCs/>
                      <w:szCs w:val="21"/>
                    </w:rPr>
                  </w:pPr>
                  <w:r>
                    <w:rPr>
                      <w:rFonts w:hint="eastAsia"/>
                      <w:b/>
                      <w:bCs/>
                      <w:szCs w:val="21"/>
                    </w:rPr>
                    <w:t>污染源</w:t>
                  </w:r>
                </w:p>
              </w:tc>
              <w:tc>
                <w:tcPr>
                  <w:tcW w:w="502" w:type="dxa"/>
                  <w:vMerge w:val="restart"/>
                  <w:vAlign w:val="center"/>
                </w:tcPr>
                <w:p w14:paraId="30ED5868">
                  <w:pPr>
                    <w:adjustRightInd w:val="0"/>
                    <w:snapToGrid w:val="0"/>
                    <w:spacing w:line="240" w:lineRule="exact"/>
                    <w:jc w:val="center"/>
                    <w:rPr>
                      <w:b/>
                      <w:bCs/>
                      <w:szCs w:val="21"/>
                    </w:rPr>
                  </w:pPr>
                  <w:r>
                    <w:rPr>
                      <w:b/>
                      <w:bCs/>
                      <w:szCs w:val="21"/>
                    </w:rPr>
                    <w:t>排放形式</w:t>
                  </w:r>
                </w:p>
              </w:tc>
              <w:tc>
                <w:tcPr>
                  <w:tcW w:w="802" w:type="dxa"/>
                  <w:vMerge w:val="restart"/>
                  <w:vAlign w:val="center"/>
                </w:tcPr>
                <w:p w14:paraId="438EAC07">
                  <w:pPr>
                    <w:adjustRightInd w:val="0"/>
                    <w:snapToGrid w:val="0"/>
                    <w:spacing w:line="240" w:lineRule="exact"/>
                    <w:jc w:val="center"/>
                    <w:rPr>
                      <w:b/>
                      <w:bCs/>
                      <w:szCs w:val="21"/>
                    </w:rPr>
                  </w:pPr>
                  <w:r>
                    <w:rPr>
                      <w:b/>
                      <w:bCs/>
                      <w:szCs w:val="21"/>
                    </w:rPr>
                    <w:t>污染物</w:t>
                  </w:r>
                </w:p>
                <w:p w14:paraId="63562506">
                  <w:pPr>
                    <w:adjustRightInd w:val="0"/>
                    <w:snapToGrid w:val="0"/>
                    <w:spacing w:line="240" w:lineRule="exact"/>
                    <w:jc w:val="center"/>
                    <w:rPr>
                      <w:b/>
                      <w:bCs/>
                      <w:szCs w:val="21"/>
                    </w:rPr>
                  </w:pPr>
                  <w:r>
                    <w:rPr>
                      <w:b/>
                      <w:bCs/>
                      <w:szCs w:val="21"/>
                    </w:rPr>
                    <w:t>种类</w:t>
                  </w:r>
                </w:p>
              </w:tc>
              <w:tc>
                <w:tcPr>
                  <w:tcW w:w="2044" w:type="dxa"/>
                  <w:gridSpan w:val="3"/>
                  <w:vAlign w:val="center"/>
                </w:tcPr>
                <w:p w14:paraId="6BB30454">
                  <w:pPr>
                    <w:adjustRightInd w:val="0"/>
                    <w:snapToGrid w:val="0"/>
                    <w:spacing w:line="240" w:lineRule="exact"/>
                    <w:jc w:val="center"/>
                    <w:rPr>
                      <w:b/>
                      <w:bCs/>
                      <w:szCs w:val="21"/>
                    </w:rPr>
                  </w:pPr>
                  <w:r>
                    <w:rPr>
                      <w:b/>
                      <w:bCs/>
                      <w:szCs w:val="21"/>
                    </w:rPr>
                    <w:t>非正常排放频次</w:t>
                  </w:r>
                </w:p>
              </w:tc>
              <w:tc>
                <w:tcPr>
                  <w:tcW w:w="2204" w:type="dxa"/>
                  <w:gridSpan w:val="3"/>
                  <w:vAlign w:val="center"/>
                </w:tcPr>
                <w:p w14:paraId="51C3C802">
                  <w:pPr>
                    <w:adjustRightInd w:val="0"/>
                    <w:snapToGrid w:val="0"/>
                    <w:spacing w:line="240" w:lineRule="exact"/>
                    <w:jc w:val="center"/>
                    <w:rPr>
                      <w:b/>
                      <w:bCs/>
                      <w:szCs w:val="21"/>
                    </w:rPr>
                  </w:pPr>
                  <w:r>
                    <w:rPr>
                      <w:b/>
                      <w:bCs/>
                      <w:szCs w:val="21"/>
                    </w:rPr>
                    <w:t>污染物排放量和浓度</w:t>
                  </w:r>
                </w:p>
              </w:tc>
              <w:tc>
                <w:tcPr>
                  <w:tcW w:w="6826" w:type="dxa"/>
                  <w:gridSpan w:val="6"/>
                  <w:vAlign w:val="center"/>
                </w:tcPr>
                <w:p w14:paraId="7A948673">
                  <w:pPr>
                    <w:adjustRightInd w:val="0"/>
                    <w:snapToGrid w:val="0"/>
                    <w:spacing w:line="240" w:lineRule="exact"/>
                    <w:jc w:val="center"/>
                    <w:rPr>
                      <w:b/>
                      <w:bCs/>
                      <w:szCs w:val="21"/>
                    </w:rPr>
                  </w:pPr>
                  <w:r>
                    <w:rPr>
                      <w:b/>
                      <w:bCs/>
                      <w:szCs w:val="21"/>
                    </w:rPr>
                    <w:t>排放口基本情况</w:t>
                  </w:r>
                </w:p>
              </w:tc>
              <w:tc>
                <w:tcPr>
                  <w:tcW w:w="1281" w:type="dxa"/>
                  <w:vMerge w:val="restart"/>
                  <w:vAlign w:val="center"/>
                </w:tcPr>
                <w:p w14:paraId="7B424C25">
                  <w:pPr>
                    <w:adjustRightInd w:val="0"/>
                    <w:snapToGrid w:val="0"/>
                    <w:spacing w:line="240" w:lineRule="exact"/>
                    <w:jc w:val="center"/>
                    <w:rPr>
                      <w:szCs w:val="21"/>
                    </w:rPr>
                  </w:pPr>
                  <w:r>
                    <w:rPr>
                      <w:rFonts w:hint="eastAsia"/>
                      <w:b/>
                      <w:bCs/>
                      <w:szCs w:val="21"/>
                    </w:rPr>
                    <w:t>控制措施</w:t>
                  </w:r>
                </w:p>
              </w:tc>
            </w:tr>
            <w:tr w14:paraId="56877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74" w:type="dxa"/>
                  <w:vMerge w:val="continue"/>
                  <w:vAlign w:val="center"/>
                </w:tcPr>
                <w:p w14:paraId="20B3750B">
                  <w:pPr>
                    <w:adjustRightInd w:val="0"/>
                    <w:snapToGrid w:val="0"/>
                    <w:spacing w:line="240" w:lineRule="exact"/>
                    <w:jc w:val="center"/>
                    <w:rPr>
                      <w:b/>
                      <w:bCs/>
                      <w:szCs w:val="21"/>
                    </w:rPr>
                  </w:pPr>
                </w:p>
              </w:tc>
              <w:tc>
                <w:tcPr>
                  <w:tcW w:w="502" w:type="dxa"/>
                  <w:vMerge w:val="continue"/>
                  <w:vAlign w:val="center"/>
                </w:tcPr>
                <w:p w14:paraId="2FBF8532">
                  <w:pPr>
                    <w:adjustRightInd w:val="0"/>
                    <w:snapToGrid w:val="0"/>
                    <w:spacing w:line="240" w:lineRule="exact"/>
                    <w:jc w:val="center"/>
                    <w:rPr>
                      <w:b/>
                      <w:bCs/>
                      <w:szCs w:val="21"/>
                    </w:rPr>
                  </w:pPr>
                </w:p>
              </w:tc>
              <w:tc>
                <w:tcPr>
                  <w:tcW w:w="802" w:type="dxa"/>
                  <w:vMerge w:val="continue"/>
                  <w:vAlign w:val="center"/>
                </w:tcPr>
                <w:p w14:paraId="2F61C32B">
                  <w:pPr>
                    <w:adjustRightInd w:val="0"/>
                    <w:snapToGrid w:val="0"/>
                    <w:spacing w:line="240" w:lineRule="exact"/>
                    <w:jc w:val="center"/>
                    <w:rPr>
                      <w:b/>
                      <w:bCs/>
                      <w:szCs w:val="21"/>
                    </w:rPr>
                  </w:pPr>
                </w:p>
              </w:tc>
              <w:tc>
                <w:tcPr>
                  <w:tcW w:w="581" w:type="dxa"/>
                  <w:vAlign w:val="center"/>
                </w:tcPr>
                <w:p w14:paraId="7521CF55">
                  <w:pPr>
                    <w:adjustRightInd w:val="0"/>
                    <w:snapToGrid w:val="0"/>
                    <w:spacing w:line="240" w:lineRule="exact"/>
                    <w:jc w:val="center"/>
                    <w:rPr>
                      <w:b/>
                      <w:bCs/>
                      <w:szCs w:val="21"/>
                    </w:rPr>
                  </w:pPr>
                  <w:r>
                    <w:rPr>
                      <w:b/>
                      <w:bCs/>
                      <w:szCs w:val="21"/>
                    </w:rPr>
                    <w:t>次数</w:t>
                  </w:r>
                </w:p>
              </w:tc>
              <w:tc>
                <w:tcPr>
                  <w:tcW w:w="675" w:type="dxa"/>
                  <w:vAlign w:val="center"/>
                </w:tcPr>
                <w:p w14:paraId="6B4DCC48">
                  <w:pPr>
                    <w:adjustRightInd w:val="0"/>
                    <w:snapToGrid w:val="0"/>
                    <w:spacing w:line="240" w:lineRule="exact"/>
                    <w:jc w:val="center"/>
                    <w:rPr>
                      <w:b/>
                      <w:bCs/>
                      <w:szCs w:val="21"/>
                    </w:rPr>
                  </w:pPr>
                  <w:r>
                    <w:rPr>
                      <w:b/>
                      <w:bCs/>
                      <w:szCs w:val="21"/>
                    </w:rPr>
                    <w:t>单次持续时间</w:t>
                  </w:r>
                </w:p>
              </w:tc>
              <w:tc>
                <w:tcPr>
                  <w:tcW w:w="788" w:type="dxa"/>
                  <w:vAlign w:val="center"/>
                </w:tcPr>
                <w:p w14:paraId="57254B38">
                  <w:pPr>
                    <w:adjustRightInd w:val="0"/>
                    <w:snapToGrid w:val="0"/>
                    <w:spacing w:line="240" w:lineRule="exact"/>
                    <w:jc w:val="center"/>
                    <w:rPr>
                      <w:b/>
                      <w:bCs/>
                      <w:szCs w:val="21"/>
                    </w:rPr>
                  </w:pPr>
                  <w:r>
                    <w:rPr>
                      <w:b/>
                      <w:bCs/>
                      <w:szCs w:val="21"/>
                    </w:rPr>
                    <w:t>总排放时间</w:t>
                  </w:r>
                </w:p>
              </w:tc>
              <w:tc>
                <w:tcPr>
                  <w:tcW w:w="806" w:type="dxa"/>
                  <w:vMerge w:val="restart"/>
                  <w:vAlign w:val="center"/>
                </w:tcPr>
                <w:p w14:paraId="6EA42477">
                  <w:pPr>
                    <w:adjustRightInd w:val="0"/>
                    <w:snapToGrid w:val="0"/>
                    <w:spacing w:line="240" w:lineRule="exact"/>
                    <w:jc w:val="center"/>
                    <w:rPr>
                      <w:b/>
                      <w:bCs/>
                      <w:szCs w:val="21"/>
                    </w:rPr>
                  </w:pPr>
                  <w:r>
                    <w:rPr>
                      <w:b/>
                      <w:bCs/>
                      <w:szCs w:val="21"/>
                    </w:rPr>
                    <w:t>排放浓度</w:t>
                  </w:r>
                </w:p>
                <w:p w14:paraId="7DD7843E">
                  <w:pPr>
                    <w:adjustRightInd w:val="0"/>
                    <w:snapToGrid w:val="0"/>
                    <w:spacing w:line="240" w:lineRule="exact"/>
                    <w:jc w:val="center"/>
                    <w:rPr>
                      <w:b/>
                      <w:bCs/>
                      <w:szCs w:val="21"/>
                    </w:rPr>
                  </w:pPr>
                  <w:r>
                    <w:rPr>
                      <w:b/>
                      <w:bCs/>
                      <w:szCs w:val="21"/>
                    </w:rPr>
                    <w:t>mg/</w:t>
                  </w:r>
                  <w:r>
                    <w:t>m</w:t>
                  </w:r>
                  <w:r>
                    <w:rPr>
                      <w:vertAlign w:val="superscript"/>
                    </w:rPr>
                    <w:t>3</w:t>
                  </w:r>
                </w:p>
              </w:tc>
              <w:tc>
                <w:tcPr>
                  <w:tcW w:w="1398" w:type="dxa"/>
                  <w:gridSpan w:val="2"/>
                  <w:vAlign w:val="center"/>
                </w:tcPr>
                <w:p w14:paraId="3EE22D1C">
                  <w:pPr>
                    <w:adjustRightInd w:val="0"/>
                    <w:snapToGrid w:val="0"/>
                    <w:spacing w:line="240" w:lineRule="exact"/>
                    <w:jc w:val="center"/>
                    <w:rPr>
                      <w:b/>
                      <w:bCs/>
                      <w:szCs w:val="21"/>
                    </w:rPr>
                  </w:pPr>
                  <w:r>
                    <w:rPr>
                      <w:b/>
                      <w:bCs/>
                      <w:szCs w:val="21"/>
                    </w:rPr>
                    <w:t>排放量</w:t>
                  </w:r>
                </w:p>
              </w:tc>
              <w:tc>
                <w:tcPr>
                  <w:tcW w:w="1523" w:type="dxa"/>
                  <w:vMerge w:val="restart"/>
                  <w:vAlign w:val="center"/>
                </w:tcPr>
                <w:p w14:paraId="2507251C">
                  <w:pPr>
                    <w:adjustRightInd w:val="0"/>
                    <w:snapToGrid w:val="0"/>
                    <w:spacing w:line="240" w:lineRule="exact"/>
                    <w:jc w:val="center"/>
                    <w:rPr>
                      <w:b/>
                      <w:bCs/>
                      <w:szCs w:val="21"/>
                    </w:rPr>
                  </w:pPr>
                  <w:r>
                    <w:rPr>
                      <w:b/>
                      <w:bCs/>
                      <w:spacing w:val="-10"/>
                      <w:szCs w:val="21"/>
                    </w:rPr>
                    <w:t>编号及名称</w:t>
                  </w:r>
                </w:p>
              </w:tc>
              <w:tc>
                <w:tcPr>
                  <w:tcW w:w="452" w:type="dxa"/>
                  <w:vAlign w:val="center"/>
                </w:tcPr>
                <w:p w14:paraId="2FF97325">
                  <w:pPr>
                    <w:adjustRightInd w:val="0"/>
                    <w:snapToGrid w:val="0"/>
                    <w:spacing w:line="240" w:lineRule="exact"/>
                    <w:jc w:val="center"/>
                    <w:rPr>
                      <w:b/>
                      <w:bCs/>
                      <w:szCs w:val="21"/>
                    </w:rPr>
                  </w:pPr>
                  <w:r>
                    <w:rPr>
                      <w:b/>
                      <w:bCs/>
                      <w:szCs w:val="21"/>
                    </w:rPr>
                    <w:t>高度</w:t>
                  </w:r>
                </w:p>
              </w:tc>
              <w:tc>
                <w:tcPr>
                  <w:tcW w:w="498" w:type="dxa"/>
                  <w:vAlign w:val="center"/>
                </w:tcPr>
                <w:p w14:paraId="79A058B0">
                  <w:pPr>
                    <w:adjustRightInd w:val="0"/>
                    <w:snapToGrid w:val="0"/>
                    <w:spacing w:line="240" w:lineRule="exact"/>
                    <w:jc w:val="center"/>
                    <w:rPr>
                      <w:b/>
                      <w:bCs/>
                      <w:szCs w:val="21"/>
                    </w:rPr>
                  </w:pPr>
                  <w:r>
                    <w:rPr>
                      <w:b/>
                      <w:bCs/>
                      <w:szCs w:val="21"/>
                    </w:rPr>
                    <w:t>内径</w:t>
                  </w:r>
                </w:p>
              </w:tc>
              <w:tc>
                <w:tcPr>
                  <w:tcW w:w="467" w:type="dxa"/>
                  <w:vAlign w:val="center"/>
                </w:tcPr>
                <w:p w14:paraId="1AB909BE">
                  <w:pPr>
                    <w:adjustRightInd w:val="0"/>
                    <w:snapToGrid w:val="0"/>
                    <w:spacing w:line="240" w:lineRule="exact"/>
                    <w:jc w:val="center"/>
                    <w:rPr>
                      <w:b/>
                      <w:bCs/>
                      <w:szCs w:val="21"/>
                    </w:rPr>
                  </w:pPr>
                  <w:r>
                    <w:rPr>
                      <w:b/>
                      <w:bCs/>
                      <w:szCs w:val="21"/>
                    </w:rPr>
                    <w:t>温度</w:t>
                  </w:r>
                </w:p>
              </w:tc>
              <w:tc>
                <w:tcPr>
                  <w:tcW w:w="526" w:type="dxa"/>
                  <w:vAlign w:val="center"/>
                </w:tcPr>
                <w:p w14:paraId="79717C63">
                  <w:pPr>
                    <w:adjustRightInd w:val="0"/>
                    <w:snapToGrid w:val="0"/>
                    <w:spacing w:line="240" w:lineRule="exact"/>
                    <w:jc w:val="center"/>
                    <w:rPr>
                      <w:b/>
                      <w:bCs/>
                      <w:szCs w:val="21"/>
                    </w:rPr>
                  </w:pPr>
                  <w:r>
                    <w:rPr>
                      <w:b/>
                      <w:bCs/>
                      <w:szCs w:val="21"/>
                    </w:rPr>
                    <w:t>类型</w:t>
                  </w:r>
                </w:p>
              </w:tc>
              <w:tc>
                <w:tcPr>
                  <w:tcW w:w="3360" w:type="dxa"/>
                  <w:vMerge w:val="restart"/>
                  <w:vAlign w:val="center"/>
                </w:tcPr>
                <w:p w14:paraId="702F0632">
                  <w:pPr>
                    <w:adjustRightInd w:val="0"/>
                    <w:snapToGrid w:val="0"/>
                    <w:spacing w:line="240" w:lineRule="exact"/>
                    <w:jc w:val="center"/>
                    <w:rPr>
                      <w:b/>
                      <w:bCs/>
                      <w:szCs w:val="21"/>
                    </w:rPr>
                  </w:pPr>
                  <w:r>
                    <w:rPr>
                      <w:b/>
                      <w:bCs/>
                      <w:szCs w:val="21"/>
                    </w:rPr>
                    <w:t>地理</w:t>
                  </w:r>
                </w:p>
                <w:p w14:paraId="1BFACCC1">
                  <w:pPr>
                    <w:adjustRightInd w:val="0"/>
                    <w:snapToGrid w:val="0"/>
                    <w:spacing w:line="240" w:lineRule="exact"/>
                    <w:jc w:val="center"/>
                    <w:rPr>
                      <w:b/>
                      <w:bCs/>
                      <w:szCs w:val="21"/>
                    </w:rPr>
                  </w:pPr>
                  <w:r>
                    <w:rPr>
                      <w:b/>
                      <w:bCs/>
                      <w:szCs w:val="21"/>
                    </w:rPr>
                    <w:t>坐标</w:t>
                  </w:r>
                </w:p>
              </w:tc>
              <w:tc>
                <w:tcPr>
                  <w:tcW w:w="1281" w:type="dxa"/>
                  <w:vMerge w:val="continue"/>
                  <w:vAlign w:val="center"/>
                </w:tcPr>
                <w:p w14:paraId="763573F9">
                  <w:pPr>
                    <w:adjustRightInd w:val="0"/>
                    <w:snapToGrid w:val="0"/>
                    <w:spacing w:line="240" w:lineRule="exact"/>
                    <w:jc w:val="center"/>
                    <w:rPr>
                      <w:szCs w:val="21"/>
                    </w:rPr>
                  </w:pPr>
                </w:p>
              </w:tc>
            </w:tr>
            <w:tr w14:paraId="04AF5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4" w:type="dxa"/>
                  <w:vMerge w:val="continue"/>
                  <w:vAlign w:val="center"/>
                </w:tcPr>
                <w:p w14:paraId="7D96D4D2">
                  <w:pPr>
                    <w:adjustRightInd w:val="0"/>
                    <w:snapToGrid w:val="0"/>
                    <w:spacing w:line="240" w:lineRule="exact"/>
                    <w:jc w:val="center"/>
                    <w:rPr>
                      <w:b/>
                      <w:bCs/>
                      <w:szCs w:val="21"/>
                    </w:rPr>
                  </w:pPr>
                </w:p>
              </w:tc>
              <w:tc>
                <w:tcPr>
                  <w:tcW w:w="502" w:type="dxa"/>
                  <w:vMerge w:val="continue"/>
                  <w:vAlign w:val="center"/>
                </w:tcPr>
                <w:p w14:paraId="21263F01">
                  <w:pPr>
                    <w:adjustRightInd w:val="0"/>
                    <w:snapToGrid w:val="0"/>
                    <w:spacing w:line="240" w:lineRule="exact"/>
                    <w:jc w:val="center"/>
                    <w:rPr>
                      <w:b/>
                      <w:bCs/>
                      <w:szCs w:val="21"/>
                    </w:rPr>
                  </w:pPr>
                </w:p>
              </w:tc>
              <w:tc>
                <w:tcPr>
                  <w:tcW w:w="802" w:type="dxa"/>
                  <w:vMerge w:val="continue"/>
                  <w:vAlign w:val="center"/>
                </w:tcPr>
                <w:p w14:paraId="3D8D7FDE">
                  <w:pPr>
                    <w:adjustRightInd w:val="0"/>
                    <w:snapToGrid w:val="0"/>
                    <w:spacing w:line="240" w:lineRule="exact"/>
                    <w:jc w:val="center"/>
                    <w:rPr>
                      <w:b/>
                      <w:bCs/>
                      <w:szCs w:val="21"/>
                    </w:rPr>
                  </w:pPr>
                </w:p>
              </w:tc>
              <w:tc>
                <w:tcPr>
                  <w:tcW w:w="581" w:type="dxa"/>
                  <w:vAlign w:val="center"/>
                </w:tcPr>
                <w:p w14:paraId="50CCD7E3">
                  <w:pPr>
                    <w:adjustRightInd w:val="0"/>
                    <w:snapToGrid w:val="0"/>
                    <w:spacing w:line="240" w:lineRule="exact"/>
                    <w:jc w:val="center"/>
                    <w:rPr>
                      <w:b/>
                      <w:bCs/>
                      <w:szCs w:val="21"/>
                    </w:rPr>
                  </w:pPr>
                  <w:r>
                    <w:rPr>
                      <w:b/>
                      <w:bCs/>
                      <w:szCs w:val="21"/>
                    </w:rPr>
                    <w:t>次/年</w:t>
                  </w:r>
                </w:p>
              </w:tc>
              <w:tc>
                <w:tcPr>
                  <w:tcW w:w="675" w:type="dxa"/>
                  <w:vAlign w:val="center"/>
                </w:tcPr>
                <w:p w14:paraId="344AE1C7">
                  <w:pPr>
                    <w:adjustRightInd w:val="0"/>
                    <w:snapToGrid w:val="0"/>
                    <w:spacing w:line="240" w:lineRule="exact"/>
                    <w:jc w:val="center"/>
                    <w:rPr>
                      <w:b/>
                      <w:bCs/>
                      <w:szCs w:val="21"/>
                    </w:rPr>
                  </w:pPr>
                  <w:r>
                    <w:rPr>
                      <w:b/>
                      <w:bCs/>
                      <w:szCs w:val="21"/>
                    </w:rPr>
                    <w:t>小时</w:t>
                  </w:r>
                </w:p>
              </w:tc>
              <w:tc>
                <w:tcPr>
                  <w:tcW w:w="788" w:type="dxa"/>
                  <w:vAlign w:val="center"/>
                </w:tcPr>
                <w:p w14:paraId="73A5374F">
                  <w:pPr>
                    <w:adjustRightInd w:val="0"/>
                    <w:snapToGrid w:val="0"/>
                    <w:spacing w:line="240" w:lineRule="exact"/>
                    <w:jc w:val="center"/>
                    <w:rPr>
                      <w:b/>
                      <w:bCs/>
                      <w:szCs w:val="21"/>
                    </w:rPr>
                  </w:pPr>
                  <w:r>
                    <w:rPr>
                      <w:b/>
                      <w:bCs/>
                      <w:szCs w:val="21"/>
                    </w:rPr>
                    <w:t>小时</w:t>
                  </w:r>
                </w:p>
              </w:tc>
              <w:tc>
                <w:tcPr>
                  <w:tcW w:w="806" w:type="dxa"/>
                  <w:vMerge w:val="continue"/>
                  <w:vAlign w:val="center"/>
                </w:tcPr>
                <w:p w14:paraId="2AC6A99E">
                  <w:pPr>
                    <w:adjustRightInd w:val="0"/>
                    <w:snapToGrid w:val="0"/>
                    <w:spacing w:line="240" w:lineRule="exact"/>
                    <w:jc w:val="center"/>
                    <w:rPr>
                      <w:b/>
                      <w:bCs/>
                      <w:szCs w:val="21"/>
                    </w:rPr>
                  </w:pPr>
                </w:p>
              </w:tc>
              <w:tc>
                <w:tcPr>
                  <w:tcW w:w="694" w:type="dxa"/>
                  <w:vAlign w:val="center"/>
                </w:tcPr>
                <w:p w14:paraId="05E79C35">
                  <w:pPr>
                    <w:adjustRightInd w:val="0"/>
                    <w:snapToGrid w:val="0"/>
                    <w:spacing w:line="240" w:lineRule="exact"/>
                    <w:jc w:val="center"/>
                    <w:rPr>
                      <w:b/>
                      <w:bCs/>
                      <w:szCs w:val="21"/>
                    </w:rPr>
                  </w:pPr>
                  <w:r>
                    <w:rPr>
                      <w:b/>
                      <w:bCs/>
                      <w:szCs w:val="21"/>
                    </w:rPr>
                    <w:t>kg/h</w:t>
                  </w:r>
                </w:p>
              </w:tc>
              <w:tc>
                <w:tcPr>
                  <w:tcW w:w="704" w:type="dxa"/>
                  <w:vAlign w:val="center"/>
                </w:tcPr>
                <w:p w14:paraId="2458A5C9">
                  <w:pPr>
                    <w:adjustRightInd w:val="0"/>
                    <w:snapToGrid w:val="0"/>
                    <w:spacing w:line="240" w:lineRule="exact"/>
                    <w:jc w:val="center"/>
                    <w:rPr>
                      <w:b/>
                      <w:bCs/>
                      <w:szCs w:val="21"/>
                    </w:rPr>
                  </w:pPr>
                  <w:r>
                    <w:rPr>
                      <w:rFonts w:hint="eastAsia"/>
                      <w:b/>
                      <w:bCs/>
                      <w:szCs w:val="21"/>
                    </w:rPr>
                    <w:t>kg</w:t>
                  </w:r>
                  <w:r>
                    <w:rPr>
                      <w:b/>
                      <w:bCs/>
                      <w:szCs w:val="21"/>
                    </w:rPr>
                    <w:t>/a</w:t>
                  </w:r>
                </w:p>
              </w:tc>
              <w:tc>
                <w:tcPr>
                  <w:tcW w:w="1523" w:type="dxa"/>
                  <w:vMerge w:val="continue"/>
                  <w:vAlign w:val="center"/>
                </w:tcPr>
                <w:p w14:paraId="276D0837">
                  <w:pPr>
                    <w:adjustRightInd w:val="0"/>
                    <w:snapToGrid w:val="0"/>
                    <w:spacing w:line="240" w:lineRule="exact"/>
                    <w:jc w:val="center"/>
                    <w:rPr>
                      <w:b/>
                      <w:bCs/>
                      <w:szCs w:val="21"/>
                    </w:rPr>
                  </w:pPr>
                </w:p>
              </w:tc>
              <w:tc>
                <w:tcPr>
                  <w:tcW w:w="452" w:type="dxa"/>
                  <w:vAlign w:val="center"/>
                </w:tcPr>
                <w:p w14:paraId="3F0B3A4A">
                  <w:pPr>
                    <w:adjustRightInd w:val="0"/>
                    <w:snapToGrid w:val="0"/>
                    <w:spacing w:line="240" w:lineRule="exact"/>
                    <w:jc w:val="center"/>
                    <w:rPr>
                      <w:b/>
                      <w:bCs/>
                      <w:szCs w:val="21"/>
                    </w:rPr>
                  </w:pPr>
                  <w:r>
                    <w:rPr>
                      <w:b/>
                      <w:bCs/>
                      <w:szCs w:val="21"/>
                    </w:rPr>
                    <w:t>m</w:t>
                  </w:r>
                </w:p>
              </w:tc>
              <w:tc>
                <w:tcPr>
                  <w:tcW w:w="498" w:type="dxa"/>
                  <w:vAlign w:val="center"/>
                </w:tcPr>
                <w:p w14:paraId="0B17CAFE">
                  <w:pPr>
                    <w:adjustRightInd w:val="0"/>
                    <w:snapToGrid w:val="0"/>
                    <w:spacing w:line="240" w:lineRule="exact"/>
                    <w:jc w:val="center"/>
                    <w:rPr>
                      <w:b/>
                      <w:bCs/>
                      <w:szCs w:val="21"/>
                    </w:rPr>
                  </w:pPr>
                  <w:r>
                    <w:rPr>
                      <w:b/>
                      <w:bCs/>
                      <w:szCs w:val="21"/>
                    </w:rPr>
                    <w:t>m</w:t>
                  </w:r>
                </w:p>
              </w:tc>
              <w:tc>
                <w:tcPr>
                  <w:tcW w:w="467" w:type="dxa"/>
                  <w:vAlign w:val="center"/>
                </w:tcPr>
                <w:p w14:paraId="59FB78C7">
                  <w:pPr>
                    <w:adjustRightInd w:val="0"/>
                    <w:snapToGrid w:val="0"/>
                    <w:spacing w:line="240" w:lineRule="exact"/>
                    <w:jc w:val="center"/>
                    <w:rPr>
                      <w:b/>
                      <w:bCs/>
                      <w:szCs w:val="21"/>
                    </w:rPr>
                  </w:pPr>
                  <w:r>
                    <w:rPr>
                      <w:b/>
                      <w:bCs/>
                      <w:szCs w:val="21"/>
                    </w:rPr>
                    <w:t>℃</w:t>
                  </w:r>
                </w:p>
              </w:tc>
              <w:tc>
                <w:tcPr>
                  <w:tcW w:w="526" w:type="dxa"/>
                  <w:vAlign w:val="center"/>
                </w:tcPr>
                <w:p w14:paraId="66AE6B86">
                  <w:pPr>
                    <w:adjustRightInd w:val="0"/>
                    <w:snapToGrid w:val="0"/>
                    <w:spacing w:line="240" w:lineRule="exact"/>
                    <w:jc w:val="center"/>
                    <w:rPr>
                      <w:b/>
                      <w:bCs/>
                      <w:szCs w:val="21"/>
                    </w:rPr>
                  </w:pPr>
                  <w:r>
                    <w:rPr>
                      <w:b/>
                      <w:bCs/>
                      <w:szCs w:val="21"/>
                    </w:rPr>
                    <w:t>/</w:t>
                  </w:r>
                </w:p>
              </w:tc>
              <w:tc>
                <w:tcPr>
                  <w:tcW w:w="3360" w:type="dxa"/>
                  <w:vMerge w:val="continue"/>
                  <w:vAlign w:val="center"/>
                </w:tcPr>
                <w:p w14:paraId="5A215B75">
                  <w:pPr>
                    <w:adjustRightInd w:val="0"/>
                    <w:snapToGrid w:val="0"/>
                    <w:spacing w:line="240" w:lineRule="exact"/>
                    <w:jc w:val="center"/>
                    <w:rPr>
                      <w:b/>
                      <w:bCs/>
                      <w:szCs w:val="21"/>
                    </w:rPr>
                  </w:pPr>
                </w:p>
              </w:tc>
              <w:tc>
                <w:tcPr>
                  <w:tcW w:w="1281" w:type="dxa"/>
                  <w:vMerge w:val="continue"/>
                  <w:vAlign w:val="center"/>
                </w:tcPr>
                <w:p w14:paraId="12EA9D14">
                  <w:pPr>
                    <w:adjustRightInd w:val="0"/>
                    <w:snapToGrid w:val="0"/>
                    <w:spacing w:line="240" w:lineRule="exact"/>
                    <w:jc w:val="center"/>
                    <w:rPr>
                      <w:szCs w:val="21"/>
                    </w:rPr>
                  </w:pPr>
                </w:p>
              </w:tc>
            </w:tr>
            <w:tr w14:paraId="47B8D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74" w:type="dxa"/>
                  <w:vMerge w:val="restart"/>
                  <w:vAlign w:val="center"/>
                </w:tcPr>
                <w:p w14:paraId="738B5BE7">
                  <w:pPr>
                    <w:pStyle w:val="38"/>
                    <w:rPr>
                      <w:rFonts w:hint="eastAsia" w:eastAsia="宋体"/>
                      <w:lang w:eastAsia="zh-CN"/>
                    </w:rPr>
                  </w:pPr>
                  <w:r>
                    <w:rPr>
                      <w:rFonts w:hint="eastAsia"/>
                      <w:lang w:eastAsia="zh-CN"/>
                    </w:rPr>
                    <w:t>宁都县青塘镇污水处理厂工程</w:t>
                  </w:r>
                </w:p>
              </w:tc>
              <w:tc>
                <w:tcPr>
                  <w:tcW w:w="502" w:type="dxa"/>
                  <w:vMerge w:val="restart"/>
                  <w:vAlign w:val="center"/>
                </w:tcPr>
                <w:p w14:paraId="55502783">
                  <w:pPr>
                    <w:spacing w:line="240" w:lineRule="atLeast"/>
                    <w:jc w:val="center"/>
                    <w:rPr>
                      <w:szCs w:val="21"/>
                    </w:rPr>
                  </w:pPr>
                  <w:r>
                    <w:rPr>
                      <w:szCs w:val="21"/>
                    </w:rPr>
                    <w:t>有组织</w:t>
                  </w:r>
                </w:p>
              </w:tc>
              <w:tc>
                <w:tcPr>
                  <w:tcW w:w="802" w:type="dxa"/>
                  <w:vAlign w:val="center"/>
                </w:tcPr>
                <w:p w14:paraId="18A67233">
                  <w:pPr>
                    <w:widowControl/>
                    <w:jc w:val="center"/>
                    <w:textAlignment w:val="center"/>
                    <w:rPr>
                      <w:color w:val="000000"/>
                      <w:kern w:val="0"/>
                      <w:szCs w:val="21"/>
                      <w:lang w:bidi="ar"/>
                    </w:rPr>
                  </w:pPr>
                  <w:r>
                    <w:rPr>
                      <w:rFonts w:hint="eastAsia"/>
                      <w:szCs w:val="21"/>
                    </w:rPr>
                    <w:t>氨</w:t>
                  </w:r>
                </w:p>
              </w:tc>
              <w:tc>
                <w:tcPr>
                  <w:tcW w:w="581" w:type="dxa"/>
                  <w:vAlign w:val="center"/>
                </w:tcPr>
                <w:p w14:paraId="73CE257A">
                  <w:pPr>
                    <w:widowControl/>
                    <w:adjustRightInd w:val="0"/>
                    <w:snapToGrid w:val="0"/>
                    <w:spacing w:before="48" w:beforeLines="20" w:after="48" w:afterLines="20"/>
                    <w:jc w:val="center"/>
                    <w:textAlignment w:val="center"/>
                    <w:rPr>
                      <w:kern w:val="0"/>
                      <w:szCs w:val="21"/>
                      <w:lang w:bidi="ar"/>
                    </w:rPr>
                  </w:pPr>
                  <w:r>
                    <w:rPr>
                      <w:kern w:val="0"/>
                      <w:szCs w:val="21"/>
                      <w:lang w:bidi="ar"/>
                    </w:rPr>
                    <w:t>2</w:t>
                  </w:r>
                </w:p>
              </w:tc>
              <w:tc>
                <w:tcPr>
                  <w:tcW w:w="675" w:type="dxa"/>
                  <w:vAlign w:val="center"/>
                </w:tcPr>
                <w:p w14:paraId="3B10E661">
                  <w:pPr>
                    <w:widowControl/>
                    <w:adjustRightInd w:val="0"/>
                    <w:snapToGrid w:val="0"/>
                    <w:spacing w:before="48" w:beforeLines="20" w:after="48" w:afterLines="20"/>
                    <w:jc w:val="center"/>
                    <w:textAlignment w:val="center"/>
                    <w:rPr>
                      <w:kern w:val="0"/>
                      <w:szCs w:val="21"/>
                      <w:lang w:bidi="ar"/>
                    </w:rPr>
                  </w:pPr>
                  <w:r>
                    <w:rPr>
                      <w:kern w:val="0"/>
                      <w:szCs w:val="21"/>
                      <w:lang w:bidi="ar"/>
                    </w:rPr>
                    <w:t>1</w:t>
                  </w:r>
                </w:p>
              </w:tc>
              <w:tc>
                <w:tcPr>
                  <w:tcW w:w="788" w:type="dxa"/>
                  <w:vAlign w:val="center"/>
                </w:tcPr>
                <w:p w14:paraId="099AB73C">
                  <w:pPr>
                    <w:widowControl/>
                    <w:adjustRightInd w:val="0"/>
                    <w:snapToGrid w:val="0"/>
                    <w:spacing w:before="48" w:beforeLines="20" w:after="48" w:afterLines="20"/>
                    <w:jc w:val="center"/>
                    <w:textAlignment w:val="center"/>
                    <w:rPr>
                      <w:kern w:val="0"/>
                      <w:szCs w:val="21"/>
                      <w:lang w:bidi="ar"/>
                    </w:rPr>
                  </w:pPr>
                  <w:r>
                    <w:rPr>
                      <w:kern w:val="0"/>
                      <w:szCs w:val="21"/>
                      <w:lang w:bidi="ar"/>
                    </w:rPr>
                    <w:t>2</w:t>
                  </w:r>
                </w:p>
              </w:tc>
              <w:tc>
                <w:tcPr>
                  <w:tcW w:w="806" w:type="dxa"/>
                  <w:vAlign w:val="center"/>
                </w:tcPr>
                <w:p w14:paraId="5DE08AC5">
                  <w:pPr>
                    <w:pStyle w:val="38"/>
                    <w:bidi w:val="0"/>
                  </w:pPr>
                  <w:r>
                    <w:rPr>
                      <w:rFonts w:hint="default"/>
                      <w:lang w:val="en-US" w:eastAsia="zh-CN"/>
                    </w:rPr>
                    <w:t xml:space="preserve">1.550 </w:t>
                  </w:r>
                </w:p>
              </w:tc>
              <w:tc>
                <w:tcPr>
                  <w:tcW w:w="694" w:type="dxa"/>
                  <w:vAlign w:val="center"/>
                </w:tcPr>
                <w:p w14:paraId="4E821D92">
                  <w:pPr>
                    <w:pStyle w:val="38"/>
                    <w:bidi w:val="0"/>
                  </w:pPr>
                  <w:r>
                    <w:rPr>
                      <w:rFonts w:hint="default"/>
                      <w:lang w:val="en-US" w:eastAsia="zh-CN"/>
                    </w:rPr>
                    <w:t xml:space="preserve">0.010 </w:t>
                  </w:r>
                </w:p>
              </w:tc>
              <w:tc>
                <w:tcPr>
                  <w:tcW w:w="704" w:type="dxa"/>
                  <w:vAlign w:val="center"/>
                </w:tcPr>
                <w:p w14:paraId="743B772F">
                  <w:pPr>
                    <w:pStyle w:val="38"/>
                    <w:bidi w:val="0"/>
                  </w:pPr>
                  <w:r>
                    <w:rPr>
                      <w:rFonts w:hint="default"/>
                      <w:lang w:val="en-US" w:eastAsia="zh-CN"/>
                    </w:rPr>
                    <w:t xml:space="preserve">0.020 </w:t>
                  </w:r>
                </w:p>
              </w:tc>
              <w:tc>
                <w:tcPr>
                  <w:tcW w:w="1523" w:type="dxa"/>
                  <w:vMerge w:val="restart"/>
                  <w:vAlign w:val="center"/>
                </w:tcPr>
                <w:p w14:paraId="25947035">
                  <w:pPr>
                    <w:spacing w:line="240" w:lineRule="atLeast"/>
                    <w:jc w:val="center"/>
                    <w:rPr>
                      <w:rFonts w:hint="eastAsia" w:eastAsia="宋体"/>
                      <w:szCs w:val="21"/>
                      <w:lang w:eastAsia="zh-CN"/>
                    </w:rPr>
                  </w:pPr>
                  <w:r>
                    <w:rPr>
                      <w:szCs w:val="21"/>
                    </w:rPr>
                    <w:t>DA00</w:t>
                  </w:r>
                  <w:r>
                    <w:rPr>
                      <w:rFonts w:hint="eastAsia"/>
                      <w:szCs w:val="21"/>
                      <w:lang w:val="en-US" w:eastAsia="zh-CN"/>
                    </w:rPr>
                    <w:t>1</w:t>
                  </w:r>
                </w:p>
                <w:p w14:paraId="283A225F">
                  <w:pPr>
                    <w:pStyle w:val="38"/>
                  </w:pPr>
                  <w:r>
                    <w:rPr>
                      <w:rFonts w:hint="eastAsia"/>
                      <w:szCs w:val="21"/>
                      <w:lang w:val="en-US" w:eastAsia="zh-CN"/>
                    </w:rPr>
                    <w:t>污水处理</w:t>
                  </w:r>
                  <w:r>
                    <w:rPr>
                      <w:szCs w:val="21"/>
                    </w:rPr>
                    <w:t>废气</w:t>
                  </w:r>
                  <w:r>
                    <w:rPr>
                      <w:rFonts w:hint="eastAsia"/>
                      <w:szCs w:val="21"/>
                    </w:rPr>
                    <w:t>排放口</w:t>
                  </w:r>
                </w:p>
              </w:tc>
              <w:tc>
                <w:tcPr>
                  <w:tcW w:w="452" w:type="dxa"/>
                  <w:vMerge w:val="restart"/>
                  <w:vAlign w:val="center"/>
                </w:tcPr>
                <w:p w14:paraId="6BF02DA4">
                  <w:pPr>
                    <w:spacing w:line="240" w:lineRule="atLeast"/>
                    <w:jc w:val="center"/>
                    <w:rPr>
                      <w:szCs w:val="21"/>
                    </w:rPr>
                  </w:pPr>
                  <w:r>
                    <w:rPr>
                      <w:rFonts w:hint="eastAsia"/>
                      <w:szCs w:val="21"/>
                      <w:lang w:val="en-US" w:eastAsia="zh-CN"/>
                    </w:rPr>
                    <w:t>1</w:t>
                  </w:r>
                  <w:r>
                    <w:rPr>
                      <w:rFonts w:hint="eastAsia"/>
                      <w:szCs w:val="21"/>
                    </w:rPr>
                    <w:t>5</w:t>
                  </w:r>
                </w:p>
              </w:tc>
              <w:tc>
                <w:tcPr>
                  <w:tcW w:w="498" w:type="dxa"/>
                  <w:vMerge w:val="restart"/>
                  <w:vAlign w:val="center"/>
                </w:tcPr>
                <w:p w14:paraId="47184AFB">
                  <w:pPr>
                    <w:spacing w:line="240" w:lineRule="atLeast"/>
                    <w:jc w:val="center"/>
                    <w:rPr>
                      <w:szCs w:val="21"/>
                    </w:rPr>
                  </w:pPr>
                  <w:r>
                    <w:rPr>
                      <w:szCs w:val="21"/>
                    </w:rPr>
                    <w:t>0.</w:t>
                  </w:r>
                  <w:r>
                    <w:rPr>
                      <w:rFonts w:hint="eastAsia"/>
                      <w:szCs w:val="21"/>
                      <w:lang w:val="en-US" w:eastAsia="zh-CN"/>
                    </w:rPr>
                    <w:t>2</w:t>
                  </w:r>
                </w:p>
              </w:tc>
              <w:tc>
                <w:tcPr>
                  <w:tcW w:w="467" w:type="dxa"/>
                  <w:vMerge w:val="restart"/>
                  <w:vAlign w:val="center"/>
                </w:tcPr>
                <w:p w14:paraId="14BE174C">
                  <w:pPr>
                    <w:spacing w:line="240" w:lineRule="atLeast"/>
                    <w:jc w:val="center"/>
                    <w:rPr>
                      <w:szCs w:val="21"/>
                    </w:rPr>
                  </w:pPr>
                  <w:r>
                    <w:rPr>
                      <w:rFonts w:hint="eastAsia"/>
                      <w:szCs w:val="21"/>
                    </w:rPr>
                    <w:t>25</w:t>
                  </w:r>
                </w:p>
              </w:tc>
              <w:tc>
                <w:tcPr>
                  <w:tcW w:w="526" w:type="dxa"/>
                  <w:vMerge w:val="restart"/>
                  <w:vAlign w:val="center"/>
                </w:tcPr>
                <w:p w14:paraId="60AF846B">
                  <w:pPr>
                    <w:spacing w:line="240" w:lineRule="atLeast"/>
                    <w:jc w:val="center"/>
                    <w:rPr>
                      <w:rFonts w:hint="eastAsia" w:eastAsia="宋体"/>
                      <w:szCs w:val="21"/>
                      <w:lang w:val="en-US" w:eastAsia="zh-CN"/>
                    </w:rPr>
                  </w:pPr>
                  <w:r>
                    <w:rPr>
                      <w:rFonts w:hint="eastAsia"/>
                      <w:szCs w:val="21"/>
                      <w:lang w:val="en-US" w:eastAsia="zh-CN"/>
                    </w:rPr>
                    <w:t>/</w:t>
                  </w:r>
                </w:p>
              </w:tc>
              <w:tc>
                <w:tcPr>
                  <w:tcW w:w="3360" w:type="dxa"/>
                  <w:vMerge w:val="restart"/>
                  <w:vAlign w:val="center"/>
                </w:tcPr>
                <w:p w14:paraId="0505CBF2">
                  <w:pPr>
                    <w:spacing w:line="240" w:lineRule="atLeast"/>
                    <w:jc w:val="center"/>
                    <w:rPr>
                      <w:szCs w:val="21"/>
                    </w:rPr>
                  </w:pPr>
                </w:p>
              </w:tc>
              <w:tc>
                <w:tcPr>
                  <w:tcW w:w="1281" w:type="dxa"/>
                  <w:vMerge w:val="continue"/>
                  <w:vAlign w:val="center"/>
                </w:tcPr>
                <w:p w14:paraId="775679FB">
                  <w:pPr>
                    <w:spacing w:line="240" w:lineRule="atLeast"/>
                    <w:jc w:val="center"/>
                    <w:rPr>
                      <w:kern w:val="0"/>
                      <w:szCs w:val="21"/>
                      <w:lang w:bidi="ar"/>
                    </w:rPr>
                  </w:pPr>
                </w:p>
              </w:tc>
            </w:tr>
            <w:tr w14:paraId="130B0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74" w:type="dxa"/>
                  <w:vMerge w:val="continue"/>
                  <w:vAlign w:val="center"/>
                </w:tcPr>
                <w:p w14:paraId="52EA007A">
                  <w:pPr>
                    <w:spacing w:line="240" w:lineRule="atLeast"/>
                    <w:jc w:val="center"/>
                    <w:rPr>
                      <w:szCs w:val="21"/>
                    </w:rPr>
                  </w:pPr>
                </w:p>
              </w:tc>
              <w:tc>
                <w:tcPr>
                  <w:tcW w:w="502" w:type="dxa"/>
                  <w:vMerge w:val="continue"/>
                  <w:vAlign w:val="center"/>
                </w:tcPr>
                <w:p w14:paraId="15C6851B">
                  <w:pPr>
                    <w:spacing w:line="240" w:lineRule="atLeast"/>
                    <w:jc w:val="center"/>
                    <w:rPr>
                      <w:szCs w:val="21"/>
                    </w:rPr>
                  </w:pPr>
                </w:p>
              </w:tc>
              <w:tc>
                <w:tcPr>
                  <w:tcW w:w="802" w:type="dxa"/>
                  <w:vAlign w:val="center"/>
                </w:tcPr>
                <w:p w14:paraId="316A79C1">
                  <w:pPr>
                    <w:widowControl/>
                    <w:jc w:val="center"/>
                    <w:textAlignment w:val="center"/>
                    <w:rPr>
                      <w:color w:val="000000"/>
                      <w:kern w:val="0"/>
                      <w:szCs w:val="21"/>
                      <w:lang w:bidi="ar"/>
                    </w:rPr>
                  </w:pPr>
                  <w:r>
                    <w:rPr>
                      <w:rFonts w:hint="eastAsia"/>
                      <w:szCs w:val="21"/>
                    </w:rPr>
                    <w:t>硫化氢</w:t>
                  </w:r>
                </w:p>
              </w:tc>
              <w:tc>
                <w:tcPr>
                  <w:tcW w:w="581" w:type="dxa"/>
                  <w:vAlign w:val="center"/>
                </w:tcPr>
                <w:p w14:paraId="71935293">
                  <w:pPr>
                    <w:widowControl/>
                    <w:adjustRightInd w:val="0"/>
                    <w:snapToGrid w:val="0"/>
                    <w:spacing w:before="48" w:beforeLines="20" w:after="48" w:afterLines="20"/>
                    <w:jc w:val="center"/>
                    <w:textAlignment w:val="center"/>
                    <w:rPr>
                      <w:kern w:val="0"/>
                      <w:szCs w:val="21"/>
                      <w:lang w:bidi="ar"/>
                    </w:rPr>
                  </w:pPr>
                  <w:r>
                    <w:rPr>
                      <w:kern w:val="0"/>
                      <w:szCs w:val="21"/>
                      <w:lang w:bidi="ar"/>
                    </w:rPr>
                    <w:t>2</w:t>
                  </w:r>
                </w:p>
              </w:tc>
              <w:tc>
                <w:tcPr>
                  <w:tcW w:w="675" w:type="dxa"/>
                  <w:vAlign w:val="center"/>
                </w:tcPr>
                <w:p w14:paraId="2FC0D5B6">
                  <w:pPr>
                    <w:widowControl/>
                    <w:adjustRightInd w:val="0"/>
                    <w:snapToGrid w:val="0"/>
                    <w:spacing w:before="48" w:beforeLines="20" w:after="48" w:afterLines="20"/>
                    <w:jc w:val="center"/>
                    <w:textAlignment w:val="center"/>
                    <w:rPr>
                      <w:kern w:val="0"/>
                      <w:szCs w:val="21"/>
                      <w:lang w:bidi="ar"/>
                    </w:rPr>
                  </w:pPr>
                  <w:r>
                    <w:rPr>
                      <w:kern w:val="0"/>
                      <w:szCs w:val="21"/>
                      <w:lang w:bidi="ar"/>
                    </w:rPr>
                    <w:t>1</w:t>
                  </w:r>
                </w:p>
              </w:tc>
              <w:tc>
                <w:tcPr>
                  <w:tcW w:w="788" w:type="dxa"/>
                  <w:vAlign w:val="center"/>
                </w:tcPr>
                <w:p w14:paraId="1C529ED4">
                  <w:pPr>
                    <w:widowControl/>
                    <w:adjustRightInd w:val="0"/>
                    <w:snapToGrid w:val="0"/>
                    <w:spacing w:before="48" w:beforeLines="20" w:after="48" w:afterLines="20"/>
                    <w:jc w:val="center"/>
                    <w:textAlignment w:val="center"/>
                    <w:rPr>
                      <w:kern w:val="0"/>
                      <w:szCs w:val="21"/>
                      <w:lang w:bidi="ar"/>
                    </w:rPr>
                  </w:pPr>
                  <w:r>
                    <w:rPr>
                      <w:kern w:val="0"/>
                      <w:szCs w:val="21"/>
                      <w:lang w:bidi="ar"/>
                    </w:rPr>
                    <w:t>2</w:t>
                  </w:r>
                </w:p>
              </w:tc>
              <w:tc>
                <w:tcPr>
                  <w:tcW w:w="806" w:type="dxa"/>
                  <w:vAlign w:val="center"/>
                </w:tcPr>
                <w:p w14:paraId="1B34E954">
                  <w:pPr>
                    <w:pStyle w:val="38"/>
                    <w:bidi w:val="0"/>
                  </w:pPr>
                  <w:r>
                    <w:rPr>
                      <w:rFonts w:hint="default"/>
                      <w:lang w:val="en-US" w:eastAsia="zh-CN"/>
                    </w:rPr>
                    <w:t xml:space="preserve">0.007 </w:t>
                  </w:r>
                </w:p>
              </w:tc>
              <w:tc>
                <w:tcPr>
                  <w:tcW w:w="694" w:type="dxa"/>
                  <w:vAlign w:val="center"/>
                </w:tcPr>
                <w:p w14:paraId="779966A2">
                  <w:pPr>
                    <w:pStyle w:val="38"/>
                    <w:bidi w:val="0"/>
                  </w:pPr>
                  <w:r>
                    <w:rPr>
                      <w:rFonts w:hint="default"/>
                      <w:lang w:val="en-US" w:eastAsia="zh-CN"/>
                    </w:rPr>
                    <w:t xml:space="preserve">0.00004 </w:t>
                  </w:r>
                </w:p>
              </w:tc>
              <w:tc>
                <w:tcPr>
                  <w:tcW w:w="704" w:type="dxa"/>
                  <w:vAlign w:val="center"/>
                </w:tcPr>
                <w:p w14:paraId="5E25B455">
                  <w:pPr>
                    <w:pStyle w:val="38"/>
                    <w:bidi w:val="0"/>
                  </w:pPr>
                  <w:r>
                    <w:rPr>
                      <w:rFonts w:hint="default"/>
                      <w:lang w:val="en-US" w:eastAsia="zh-CN"/>
                    </w:rPr>
                    <w:t xml:space="preserve">0.00009 </w:t>
                  </w:r>
                </w:p>
              </w:tc>
              <w:tc>
                <w:tcPr>
                  <w:tcW w:w="1523" w:type="dxa"/>
                  <w:vMerge w:val="continue"/>
                  <w:vAlign w:val="center"/>
                </w:tcPr>
                <w:p w14:paraId="2C688166">
                  <w:pPr>
                    <w:pStyle w:val="38"/>
                  </w:pPr>
                </w:p>
              </w:tc>
              <w:tc>
                <w:tcPr>
                  <w:tcW w:w="452" w:type="dxa"/>
                  <w:vMerge w:val="continue"/>
                  <w:vAlign w:val="center"/>
                </w:tcPr>
                <w:p w14:paraId="3F46530B">
                  <w:pPr>
                    <w:spacing w:line="240" w:lineRule="atLeast"/>
                    <w:jc w:val="center"/>
                    <w:rPr>
                      <w:szCs w:val="21"/>
                    </w:rPr>
                  </w:pPr>
                </w:p>
              </w:tc>
              <w:tc>
                <w:tcPr>
                  <w:tcW w:w="498" w:type="dxa"/>
                  <w:vMerge w:val="continue"/>
                  <w:vAlign w:val="center"/>
                </w:tcPr>
                <w:p w14:paraId="40BD1808">
                  <w:pPr>
                    <w:spacing w:line="240" w:lineRule="atLeast"/>
                    <w:jc w:val="center"/>
                    <w:rPr>
                      <w:szCs w:val="21"/>
                    </w:rPr>
                  </w:pPr>
                </w:p>
              </w:tc>
              <w:tc>
                <w:tcPr>
                  <w:tcW w:w="467" w:type="dxa"/>
                  <w:vMerge w:val="continue"/>
                  <w:vAlign w:val="center"/>
                </w:tcPr>
                <w:p w14:paraId="38181D96">
                  <w:pPr>
                    <w:spacing w:line="240" w:lineRule="atLeast"/>
                    <w:jc w:val="center"/>
                    <w:rPr>
                      <w:szCs w:val="21"/>
                    </w:rPr>
                  </w:pPr>
                </w:p>
              </w:tc>
              <w:tc>
                <w:tcPr>
                  <w:tcW w:w="526" w:type="dxa"/>
                  <w:vMerge w:val="continue"/>
                  <w:vAlign w:val="center"/>
                </w:tcPr>
                <w:p w14:paraId="25B66B18">
                  <w:pPr>
                    <w:spacing w:line="240" w:lineRule="atLeast"/>
                    <w:jc w:val="center"/>
                    <w:rPr>
                      <w:szCs w:val="21"/>
                    </w:rPr>
                  </w:pPr>
                </w:p>
              </w:tc>
              <w:tc>
                <w:tcPr>
                  <w:tcW w:w="3360" w:type="dxa"/>
                  <w:vMerge w:val="continue"/>
                  <w:vAlign w:val="center"/>
                </w:tcPr>
                <w:p w14:paraId="11355351">
                  <w:pPr>
                    <w:spacing w:line="240" w:lineRule="atLeast"/>
                    <w:jc w:val="center"/>
                    <w:rPr>
                      <w:szCs w:val="21"/>
                    </w:rPr>
                  </w:pPr>
                </w:p>
              </w:tc>
              <w:tc>
                <w:tcPr>
                  <w:tcW w:w="1281" w:type="dxa"/>
                  <w:vMerge w:val="continue"/>
                  <w:vAlign w:val="center"/>
                </w:tcPr>
                <w:p w14:paraId="7CC3F0A0">
                  <w:pPr>
                    <w:spacing w:line="240" w:lineRule="atLeast"/>
                    <w:jc w:val="center"/>
                    <w:rPr>
                      <w:kern w:val="0"/>
                      <w:szCs w:val="21"/>
                      <w:lang w:bidi="ar"/>
                    </w:rPr>
                  </w:pPr>
                </w:p>
              </w:tc>
            </w:tr>
          </w:tbl>
          <w:p w14:paraId="3254F158">
            <w:pPr>
              <w:rPr>
                <w:color w:val="0000FF"/>
                <w:kern w:val="0"/>
                <w:szCs w:val="21"/>
              </w:rPr>
            </w:pPr>
          </w:p>
          <w:p w14:paraId="4C3CBA36">
            <w:pPr>
              <w:rPr>
                <w:color w:val="0000FF"/>
                <w:kern w:val="0"/>
                <w:szCs w:val="21"/>
              </w:rPr>
            </w:pPr>
          </w:p>
          <w:p w14:paraId="2E40B429">
            <w:pPr>
              <w:rPr>
                <w:color w:val="0000FF"/>
                <w:kern w:val="0"/>
                <w:szCs w:val="21"/>
              </w:rPr>
            </w:pPr>
          </w:p>
          <w:p w14:paraId="3974D4F4">
            <w:pPr>
              <w:rPr>
                <w:color w:val="0000FF"/>
                <w:kern w:val="0"/>
                <w:szCs w:val="21"/>
              </w:rPr>
            </w:pPr>
          </w:p>
          <w:p w14:paraId="3E4E60C3">
            <w:pPr>
              <w:rPr>
                <w:color w:val="0000FF"/>
                <w:kern w:val="0"/>
                <w:szCs w:val="21"/>
              </w:rPr>
            </w:pPr>
          </w:p>
          <w:p w14:paraId="3763E5CF">
            <w:pPr>
              <w:pStyle w:val="60"/>
            </w:pPr>
          </w:p>
          <w:p w14:paraId="1225BC7B">
            <w:pPr>
              <w:rPr>
                <w:color w:val="0000FF"/>
                <w:kern w:val="0"/>
                <w:szCs w:val="21"/>
              </w:rPr>
            </w:pPr>
          </w:p>
          <w:p w14:paraId="75A87209">
            <w:pPr>
              <w:rPr>
                <w:color w:val="0000FF"/>
                <w:kern w:val="0"/>
                <w:szCs w:val="21"/>
              </w:rPr>
            </w:pPr>
          </w:p>
          <w:p w14:paraId="3F235ED3">
            <w:pPr>
              <w:rPr>
                <w:color w:val="0000FF"/>
                <w:kern w:val="0"/>
                <w:szCs w:val="21"/>
              </w:rPr>
            </w:pPr>
          </w:p>
          <w:p w14:paraId="0DF18186">
            <w:pPr>
              <w:rPr>
                <w:color w:val="0000FF"/>
                <w:kern w:val="0"/>
                <w:szCs w:val="21"/>
              </w:rPr>
            </w:pPr>
          </w:p>
          <w:p w14:paraId="5144D2A8">
            <w:pPr>
              <w:rPr>
                <w:color w:val="0000FF"/>
                <w:kern w:val="0"/>
                <w:szCs w:val="21"/>
              </w:rPr>
            </w:pPr>
          </w:p>
        </w:tc>
      </w:tr>
    </w:tbl>
    <w:p w14:paraId="08D7DF19">
      <w:pPr>
        <w:pStyle w:val="65"/>
        <w:sectPr>
          <w:pgSz w:w="16838" w:h="11906" w:orient="landscape"/>
          <w:pgMar w:top="1417" w:right="1134" w:bottom="1134" w:left="1134" w:header="851" w:footer="850" w:gutter="0"/>
          <w:pgBorders>
            <w:top w:val="none" w:sz="0" w:space="0"/>
            <w:left w:val="none" w:sz="0" w:space="0"/>
            <w:bottom w:val="none" w:sz="0" w:space="0"/>
            <w:right w:val="none" w:sz="0" w:space="0"/>
          </w:pgBorders>
          <w:pgNumType w:fmt="numberInDash"/>
          <w:cols w:space="720" w:num="1"/>
          <w:docGrid w:linePitch="312" w:charSpace="0"/>
        </w:sectPr>
      </w:pPr>
    </w:p>
    <w:tbl>
      <w:tblPr>
        <w:tblStyle w:val="28"/>
        <w:tblW w:w="99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9074"/>
      </w:tblGrid>
      <w:tr w14:paraId="7D2E0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94" w:type="dxa"/>
            <w:tcMar>
              <w:left w:w="28" w:type="dxa"/>
              <w:right w:w="28" w:type="dxa"/>
            </w:tcMar>
            <w:vAlign w:val="center"/>
          </w:tcPr>
          <w:p w14:paraId="58CC6A89">
            <w:pPr>
              <w:adjustRightInd w:val="0"/>
              <w:snapToGrid w:val="0"/>
              <w:jc w:val="center"/>
              <w:rPr>
                <w:bCs/>
                <w:szCs w:val="21"/>
              </w:rPr>
            </w:pPr>
            <w:r>
              <w:rPr>
                <w:bCs/>
                <w:szCs w:val="21"/>
              </w:rPr>
              <w:t>运营</w:t>
            </w:r>
          </w:p>
          <w:p w14:paraId="7FF8B456">
            <w:pPr>
              <w:adjustRightInd w:val="0"/>
              <w:snapToGrid w:val="0"/>
              <w:jc w:val="center"/>
              <w:rPr>
                <w:bCs/>
                <w:szCs w:val="21"/>
              </w:rPr>
            </w:pPr>
            <w:r>
              <w:rPr>
                <w:bCs/>
                <w:szCs w:val="21"/>
              </w:rPr>
              <w:t>期环</w:t>
            </w:r>
          </w:p>
          <w:p w14:paraId="7E452691">
            <w:pPr>
              <w:adjustRightInd w:val="0"/>
              <w:snapToGrid w:val="0"/>
              <w:jc w:val="center"/>
              <w:rPr>
                <w:bCs/>
                <w:szCs w:val="21"/>
              </w:rPr>
            </w:pPr>
            <w:r>
              <w:rPr>
                <w:bCs/>
                <w:szCs w:val="21"/>
              </w:rPr>
              <w:t>境影</w:t>
            </w:r>
          </w:p>
          <w:p w14:paraId="43711A64">
            <w:pPr>
              <w:adjustRightInd w:val="0"/>
              <w:snapToGrid w:val="0"/>
              <w:jc w:val="center"/>
              <w:rPr>
                <w:bCs/>
                <w:szCs w:val="21"/>
              </w:rPr>
            </w:pPr>
            <w:r>
              <w:rPr>
                <w:bCs/>
                <w:szCs w:val="21"/>
              </w:rPr>
              <w:t>响和</w:t>
            </w:r>
          </w:p>
          <w:p w14:paraId="7839318F">
            <w:pPr>
              <w:adjustRightInd w:val="0"/>
              <w:snapToGrid w:val="0"/>
              <w:jc w:val="center"/>
              <w:rPr>
                <w:bCs/>
                <w:szCs w:val="21"/>
              </w:rPr>
            </w:pPr>
            <w:r>
              <w:rPr>
                <w:bCs/>
                <w:szCs w:val="21"/>
              </w:rPr>
              <w:t>保护</w:t>
            </w:r>
          </w:p>
          <w:p w14:paraId="27557E5B">
            <w:pPr>
              <w:widowControl/>
              <w:adjustRightInd w:val="0"/>
              <w:snapToGrid w:val="0"/>
              <w:jc w:val="center"/>
              <w:rPr>
                <w:szCs w:val="21"/>
              </w:rPr>
            </w:pPr>
            <w:r>
              <w:rPr>
                <w:bCs/>
                <w:kern w:val="0"/>
                <w:sz w:val="24"/>
                <w:szCs w:val="21"/>
              </w:rPr>
              <w:t>措施</w:t>
            </w:r>
          </w:p>
        </w:tc>
        <w:tc>
          <w:tcPr>
            <w:tcW w:w="9020" w:type="dxa"/>
            <w:vAlign w:val="center"/>
          </w:tcPr>
          <w:p w14:paraId="4A979EC6">
            <w:pPr>
              <w:pStyle w:val="36"/>
              <w:bidi w:val="0"/>
              <w:rPr>
                <w:rFonts w:hint="eastAsia"/>
                <w:b/>
                <w:bCs/>
              </w:rPr>
            </w:pPr>
            <w:r>
              <w:rPr>
                <w:rFonts w:hint="eastAsia"/>
                <w:b/>
                <w:bCs/>
                <w:lang w:val="en-US" w:eastAsia="zh-CN"/>
              </w:rPr>
              <w:t>5、</w:t>
            </w:r>
            <w:r>
              <w:rPr>
                <w:rFonts w:hint="eastAsia"/>
                <w:b/>
                <w:bCs/>
              </w:rPr>
              <w:t>厂界浓度达标性分析</w:t>
            </w:r>
          </w:p>
          <w:p w14:paraId="7FB314E0">
            <w:pPr>
              <w:pStyle w:val="36"/>
              <w:bidi w:val="0"/>
              <w:rPr>
                <w:rFonts w:hint="eastAsia"/>
              </w:rPr>
            </w:pPr>
            <w:r>
              <w:rPr>
                <w:rFonts w:hint="eastAsia"/>
              </w:rPr>
              <w:t>本项目无组织废气经预测后其最大落地浓度作为无组织周界外浓度最高监控点，</w:t>
            </w:r>
            <w:r>
              <w:rPr>
                <w:rFonts w:hint="eastAsia"/>
                <w:lang w:val="en-US" w:eastAsia="zh-CN"/>
              </w:rPr>
              <w:t>根据下表的预测结果</w:t>
            </w:r>
            <w:r>
              <w:rPr>
                <w:rFonts w:hint="eastAsia"/>
              </w:rPr>
              <w:t>，</w:t>
            </w:r>
            <w:r>
              <w:rPr>
                <w:rFonts w:hint="eastAsia"/>
                <w:lang w:val="en-US" w:eastAsia="zh-CN"/>
              </w:rPr>
              <w:t>均</w:t>
            </w:r>
            <w:r>
              <w:rPr>
                <w:rFonts w:hint="eastAsia"/>
              </w:rPr>
              <w:t>能满足无组织污染物厂界废气的《城镇污水处理厂污染物排放标准》（GB18918-2002）二级标准要求。</w:t>
            </w:r>
          </w:p>
          <w:p w14:paraId="28AC3954">
            <w:pPr>
              <w:pStyle w:val="52"/>
              <w:bidi w:val="0"/>
              <w:rPr>
                <w:rFonts w:hint="default"/>
                <w:lang w:val="en-US" w:eastAsia="zh-CN"/>
              </w:rPr>
            </w:pPr>
            <w:r>
              <w:rPr>
                <w:rFonts w:hint="eastAsia"/>
              </w:rPr>
              <w:t>周界外浓度最高监控点</w:t>
            </w:r>
            <w:r>
              <w:rPr>
                <w:rFonts w:hint="eastAsia"/>
                <w:lang w:val="en-US" w:eastAsia="zh-CN"/>
              </w:rPr>
              <w:t>情况一览表</w:t>
            </w:r>
          </w:p>
          <w:tbl>
            <w:tblPr>
              <w:tblStyle w:val="2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88"/>
              <w:gridCol w:w="898"/>
              <w:gridCol w:w="1454"/>
              <w:gridCol w:w="1642"/>
              <w:gridCol w:w="1528"/>
              <w:gridCol w:w="748"/>
            </w:tblGrid>
            <w:tr w14:paraId="27531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8" w:type="dxa"/>
                  <w:tcBorders>
                    <w:tl2br w:val="nil"/>
                    <w:tr2bl w:val="nil"/>
                  </w:tcBorders>
                  <w:vAlign w:val="center"/>
                </w:tcPr>
                <w:p w14:paraId="0DF47C6D">
                  <w:pPr>
                    <w:pStyle w:val="38"/>
                    <w:bidi w:val="0"/>
                    <w:ind w:left="0" w:leftChars="0" w:right="0" w:rightChars="0" w:firstLine="0" w:firstLineChars="0"/>
                    <w:jc w:val="center"/>
                    <w:rPr>
                      <w:rFonts w:hint="default" w:eastAsia="宋体"/>
                      <w:b/>
                      <w:bCs/>
                      <w:lang w:val="en-US" w:eastAsia="zh-CN"/>
                    </w:rPr>
                  </w:pPr>
                  <w:r>
                    <w:rPr>
                      <w:rFonts w:hint="eastAsia"/>
                      <w:b/>
                      <w:bCs/>
                      <w:lang w:val="en-US" w:eastAsia="zh-CN"/>
                    </w:rPr>
                    <w:t>工程名称</w:t>
                  </w:r>
                </w:p>
              </w:tc>
              <w:tc>
                <w:tcPr>
                  <w:tcW w:w="898" w:type="dxa"/>
                  <w:tcBorders>
                    <w:tl2br w:val="nil"/>
                    <w:tr2bl w:val="nil"/>
                  </w:tcBorders>
                  <w:vAlign w:val="center"/>
                </w:tcPr>
                <w:p w14:paraId="6C52A1AA">
                  <w:pPr>
                    <w:pStyle w:val="38"/>
                    <w:bidi w:val="0"/>
                    <w:ind w:left="0" w:leftChars="0" w:right="0" w:rightChars="0" w:firstLine="0" w:firstLineChars="0"/>
                    <w:jc w:val="center"/>
                    <w:rPr>
                      <w:rFonts w:hint="eastAsia" w:eastAsia="宋体"/>
                      <w:b/>
                      <w:bCs/>
                      <w:lang w:val="en-US" w:eastAsia="zh-CN"/>
                    </w:rPr>
                  </w:pPr>
                  <w:r>
                    <w:rPr>
                      <w:rFonts w:hint="eastAsia"/>
                      <w:b/>
                      <w:bCs/>
                      <w:lang w:val="en-US" w:eastAsia="zh-CN"/>
                    </w:rPr>
                    <w:t>污染物</w:t>
                  </w:r>
                </w:p>
              </w:tc>
              <w:tc>
                <w:tcPr>
                  <w:tcW w:w="0" w:type="auto"/>
                  <w:tcBorders>
                    <w:tl2br w:val="nil"/>
                    <w:tr2bl w:val="nil"/>
                  </w:tcBorders>
                  <w:vAlign w:val="center"/>
                </w:tcPr>
                <w:p w14:paraId="55D1E877">
                  <w:pPr>
                    <w:pStyle w:val="38"/>
                    <w:bidi w:val="0"/>
                    <w:ind w:left="0" w:leftChars="0" w:right="0" w:rightChars="0" w:firstLine="0" w:firstLineChars="0"/>
                    <w:jc w:val="center"/>
                    <w:rPr>
                      <w:rFonts w:hint="default" w:eastAsia="宋体"/>
                      <w:b/>
                      <w:bCs/>
                      <w:lang w:val="en-US" w:eastAsia="zh-CN"/>
                    </w:rPr>
                  </w:pPr>
                  <w:r>
                    <w:rPr>
                      <w:rFonts w:hint="eastAsia"/>
                      <w:b/>
                      <w:bCs/>
                      <w:lang w:val="en-US" w:eastAsia="zh-CN"/>
                    </w:rPr>
                    <w:t>最大浓度距离（m）</w:t>
                  </w:r>
                </w:p>
              </w:tc>
              <w:tc>
                <w:tcPr>
                  <w:tcW w:w="0" w:type="auto"/>
                  <w:tcBorders>
                    <w:tl2br w:val="nil"/>
                    <w:tr2bl w:val="nil"/>
                  </w:tcBorders>
                  <w:vAlign w:val="center"/>
                </w:tcPr>
                <w:p w14:paraId="33D70689">
                  <w:pPr>
                    <w:pStyle w:val="38"/>
                    <w:bidi w:val="0"/>
                    <w:ind w:left="0" w:leftChars="0" w:right="0" w:rightChars="0" w:firstLine="0" w:firstLineChars="0"/>
                    <w:jc w:val="center"/>
                    <w:rPr>
                      <w:rFonts w:hint="default" w:eastAsia="宋体"/>
                      <w:b/>
                      <w:bCs/>
                      <w:lang w:val="en-US" w:eastAsia="zh-CN"/>
                    </w:rPr>
                  </w:pPr>
                  <w:r>
                    <w:rPr>
                      <w:rFonts w:hint="eastAsia"/>
                      <w:b/>
                      <w:bCs/>
                      <w:lang w:val="en-US" w:eastAsia="zh-CN"/>
                    </w:rPr>
                    <w:t>最大浓度（mg/</w:t>
                  </w:r>
                  <w:r>
                    <w:t>m</w:t>
                  </w:r>
                  <w:r>
                    <w:rPr>
                      <w:vertAlign w:val="superscript"/>
                    </w:rPr>
                    <w:t>3</w:t>
                  </w:r>
                  <w:r>
                    <w:rPr>
                      <w:rFonts w:hint="eastAsia"/>
                      <w:b/>
                      <w:bCs/>
                      <w:lang w:val="en-US" w:eastAsia="zh-CN"/>
                    </w:rPr>
                    <w:t>）</w:t>
                  </w:r>
                </w:p>
              </w:tc>
              <w:tc>
                <w:tcPr>
                  <w:tcW w:w="0" w:type="auto"/>
                  <w:tcBorders>
                    <w:tl2br w:val="nil"/>
                    <w:tr2bl w:val="nil"/>
                  </w:tcBorders>
                  <w:vAlign w:val="center"/>
                </w:tcPr>
                <w:p w14:paraId="2EC4BAA6">
                  <w:pPr>
                    <w:pStyle w:val="38"/>
                    <w:bidi w:val="0"/>
                    <w:ind w:left="0" w:leftChars="0" w:right="0" w:rightChars="0" w:firstLine="0" w:firstLineChars="0"/>
                    <w:jc w:val="center"/>
                    <w:rPr>
                      <w:rFonts w:hint="default" w:eastAsia="宋体"/>
                      <w:b/>
                      <w:bCs/>
                      <w:lang w:val="en-US" w:eastAsia="zh-CN"/>
                    </w:rPr>
                  </w:pPr>
                  <w:r>
                    <w:rPr>
                      <w:rFonts w:hint="eastAsia"/>
                      <w:b/>
                      <w:bCs/>
                      <w:lang w:val="en-US" w:eastAsia="zh-CN"/>
                    </w:rPr>
                    <w:t>标准值（mg/</w:t>
                  </w:r>
                  <w:r>
                    <w:t>m</w:t>
                  </w:r>
                  <w:r>
                    <w:rPr>
                      <w:vertAlign w:val="superscript"/>
                    </w:rPr>
                    <w:t>3</w:t>
                  </w:r>
                  <w:r>
                    <w:rPr>
                      <w:rFonts w:hint="eastAsia"/>
                      <w:b/>
                      <w:bCs/>
                      <w:lang w:val="en-US" w:eastAsia="zh-CN"/>
                    </w:rPr>
                    <w:t>）</w:t>
                  </w:r>
                </w:p>
              </w:tc>
              <w:tc>
                <w:tcPr>
                  <w:tcW w:w="0" w:type="auto"/>
                  <w:tcBorders>
                    <w:tl2br w:val="nil"/>
                    <w:tr2bl w:val="nil"/>
                  </w:tcBorders>
                  <w:vAlign w:val="center"/>
                </w:tcPr>
                <w:p w14:paraId="1285C562">
                  <w:pPr>
                    <w:pStyle w:val="38"/>
                    <w:bidi w:val="0"/>
                    <w:ind w:left="0" w:leftChars="0" w:right="0" w:rightChars="0" w:firstLine="0" w:firstLineChars="0"/>
                    <w:jc w:val="center"/>
                    <w:rPr>
                      <w:rFonts w:hint="default"/>
                      <w:b/>
                      <w:bCs/>
                      <w:lang w:val="en-US" w:eastAsia="zh-CN"/>
                    </w:rPr>
                  </w:pPr>
                  <w:r>
                    <w:rPr>
                      <w:rFonts w:hint="eastAsia"/>
                      <w:b/>
                      <w:bCs/>
                      <w:lang w:val="en-US" w:eastAsia="zh-CN"/>
                    </w:rPr>
                    <w:t>达标情况</w:t>
                  </w:r>
                </w:p>
              </w:tc>
            </w:tr>
            <w:tr w14:paraId="29853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88" w:type="dxa"/>
                  <w:vMerge w:val="restart"/>
                  <w:tcBorders>
                    <w:tl2br w:val="nil"/>
                    <w:tr2bl w:val="nil"/>
                  </w:tcBorders>
                  <w:vAlign w:val="center"/>
                </w:tcPr>
                <w:p w14:paraId="67F3D4A1">
                  <w:pPr>
                    <w:pStyle w:val="38"/>
                    <w:rPr>
                      <w:rFonts w:hint="eastAsia" w:eastAsia="宋体"/>
                      <w:lang w:eastAsia="zh-CN"/>
                    </w:rPr>
                  </w:pPr>
                  <w:r>
                    <w:rPr>
                      <w:rFonts w:hint="eastAsia"/>
                      <w:lang w:eastAsia="zh-CN"/>
                    </w:rPr>
                    <w:t>宁都县青塘镇污水处理厂工程</w:t>
                  </w:r>
                </w:p>
              </w:tc>
              <w:tc>
                <w:tcPr>
                  <w:tcW w:w="898" w:type="dxa"/>
                  <w:tcBorders>
                    <w:tl2br w:val="nil"/>
                    <w:tr2bl w:val="nil"/>
                  </w:tcBorders>
                  <w:vAlign w:val="center"/>
                </w:tcPr>
                <w:p w14:paraId="083839D2">
                  <w:pPr>
                    <w:pStyle w:val="38"/>
                    <w:bidi w:val="0"/>
                    <w:rPr>
                      <w:rFonts w:hint="eastAsia"/>
                    </w:rPr>
                  </w:pPr>
                  <w:r>
                    <w:rPr>
                      <w:rFonts w:hint="eastAsia"/>
                    </w:rPr>
                    <w:t>氨</w:t>
                  </w:r>
                </w:p>
              </w:tc>
              <w:tc>
                <w:tcPr>
                  <w:tcW w:w="0" w:type="auto"/>
                  <w:tcBorders>
                    <w:tl2br w:val="nil"/>
                    <w:tr2bl w:val="nil"/>
                  </w:tcBorders>
                  <w:vAlign w:val="center"/>
                </w:tcPr>
                <w:p w14:paraId="3E146025">
                  <w:pPr>
                    <w:pStyle w:val="38"/>
                    <w:bidi w:val="0"/>
                    <w:ind w:left="0" w:leftChars="0" w:right="0" w:rightChars="0" w:firstLine="0" w:firstLineChars="0"/>
                    <w:jc w:val="center"/>
                    <w:rPr>
                      <w:rFonts w:hint="default" w:eastAsia="宋体"/>
                      <w:lang w:val="en-US" w:eastAsia="zh-CN"/>
                    </w:rPr>
                  </w:pPr>
                  <w:r>
                    <w:rPr>
                      <w:rFonts w:hint="eastAsia"/>
                      <w:lang w:val="en-US" w:eastAsia="zh-CN"/>
                    </w:rPr>
                    <w:t>27</w:t>
                  </w:r>
                </w:p>
              </w:tc>
              <w:tc>
                <w:tcPr>
                  <w:tcW w:w="0" w:type="auto"/>
                  <w:tcBorders>
                    <w:tl2br w:val="nil"/>
                    <w:tr2bl w:val="nil"/>
                  </w:tcBorders>
                  <w:vAlign w:val="center"/>
                </w:tcPr>
                <w:p w14:paraId="769C7F77">
                  <w:pPr>
                    <w:pStyle w:val="38"/>
                    <w:bidi w:val="0"/>
                    <w:ind w:left="0" w:leftChars="0" w:right="0" w:rightChars="0" w:firstLine="0" w:firstLineChars="0"/>
                    <w:jc w:val="center"/>
                    <w:rPr>
                      <w:rFonts w:hint="default" w:eastAsia="宋体"/>
                      <w:lang w:val="en-US" w:eastAsia="zh-CN"/>
                    </w:rPr>
                  </w:pPr>
                  <w:r>
                    <w:rPr>
                      <w:rFonts w:hint="eastAsia"/>
                      <w:lang w:val="en-US" w:eastAsia="zh-CN"/>
                    </w:rPr>
                    <w:t>0.00475</w:t>
                  </w:r>
                </w:p>
              </w:tc>
              <w:tc>
                <w:tcPr>
                  <w:tcW w:w="0" w:type="auto"/>
                  <w:tcBorders>
                    <w:tl2br w:val="nil"/>
                    <w:tr2bl w:val="nil"/>
                  </w:tcBorders>
                  <w:vAlign w:val="center"/>
                </w:tcPr>
                <w:p w14:paraId="713912E3">
                  <w:pPr>
                    <w:pStyle w:val="165"/>
                    <w:snapToGrid w:val="0"/>
                    <w:rPr>
                      <w:rFonts w:hint="eastAsia"/>
                    </w:rPr>
                  </w:pPr>
                  <w:r>
                    <w:t>1.5</w:t>
                  </w:r>
                </w:p>
              </w:tc>
              <w:tc>
                <w:tcPr>
                  <w:tcW w:w="0" w:type="auto"/>
                  <w:tcBorders>
                    <w:tl2br w:val="nil"/>
                    <w:tr2bl w:val="nil"/>
                  </w:tcBorders>
                  <w:vAlign w:val="center"/>
                </w:tcPr>
                <w:p w14:paraId="1ADC6AC3">
                  <w:pPr>
                    <w:pStyle w:val="38"/>
                    <w:bidi w:val="0"/>
                    <w:rPr>
                      <w:rFonts w:hint="eastAsia"/>
                    </w:rPr>
                  </w:pPr>
                  <w:r>
                    <w:rPr>
                      <w:rFonts w:hint="eastAsia"/>
                      <w:lang w:val="en-US" w:eastAsia="zh-CN"/>
                    </w:rPr>
                    <w:t>达标</w:t>
                  </w:r>
                </w:p>
              </w:tc>
            </w:tr>
            <w:tr w14:paraId="03ABB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88" w:type="dxa"/>
                  <w:vMerge w:val="continue"/>
                  <w:tcBorders>
                    <w:tl2br w:val="nil"/>
                    <w:tr2bl w:val="nil"/>
                  </w:tcBorders>
                  <w:vAlign w:val="center"/>
                </w:tcPr>
                <w:p w14:paraId="22E7B9AD">
                  <w:pPr>
                    <w:pStyle w:val="38"/>
                    <w:bidi w:val="0"/>
                    <w:ind w:left="0" w:leftChars="0" w:right="0" w:rightChars="0" w:firstLine="0" w:firstLineChars="0"/>
                    <w:jc w:val="center"/>
                  </w:pPr>
                </w:p>
              </w:tc>
              <w:tc>
                <w:tcPr>
                  <w:tcW w:w="898" w:type="dxa"/>
                  <w:tcBorders>
                    <w:tl2br w:val="nil"/>
                    <w:tr2bl w:val="nil"/>
                  </w:tcBorders>
                  <w:vAlign w:val="center"/>
                </w:tcPr>
                <w:p w14:paraId="708FC6BE">
                  <w:pPr>
                    <w:pStyle w:val="38"/>
                    <w:bidi w:val="0"/>
                    <w:rPr>
                      <w:rFonts w:hint="eastAsia"/>
                    </w:rPr>
                  </w:pPr>
                  <w:r>
                    <w:rPr>
                      <w:rFonts w:hint="eastAsia"/>
                    </w:rPr>
                    <w:t>硫化氢</w:t>
                  </w:r>
                </w:p>
              </w:tc>
              <w:tc>
                <w:tcPr>
                  <w:tcW w:w="0" w:type="auto"/>
                  <w:tcBorders>
                    <w:tl2br w:val="nil"/>
                    <w:tr2bl w:val="nil"/>
                  </w:tcBorders>
                  <w:vAlign w:val="center"/>
                </w:tcPr>
                <w:p w14:paraId="00659845">
                  <w:pPr>
                    <w:pStyle w:val="38"/>
                    <w:bidi w:val="0"/>
                    <w:ind w:left="0" w:leftChars="0" w:right="0" w:rightChars="0" w:firstLine="0" w:firstLineChars="0"/>
                    <w:jc w:val="center"/>
                    <w:rPr>
                      <w:rFonts w:hint="default" w:eastAsia="宋体"/>
                      <w:lang w:val="en-US" w:eastAsia="zh-CN"/>
                    </w:rPr>
                  </w:pPr>
                  <w:r>
                    <w:rPr>
                      <w:rFonts w:hint="eastAsia"/>
                      <w:lang w:val="en-US" w:eastAsia="zh-CN"/>
                    </w:rPr>
                    <w:t>27</w:t>
                  </w:r>
                </w:p>
              </w:tc>
              <w:tc>
                <w:tcPr>
                  <w:tcW w:w="0" w:type="auto"/>
                  <w:tcBorders>
                    <w:tl2br w:val="nil"/>
                    <w:tr2bl w:val="nil"/>
                  </w:tcBorders>
                  <w:vAlign w:val="center"/>
                </w:tcPr>
                <w:p w14:paraId="023E1F26">
                  <w:pPr>
                    <w:pStyle w:val="38"/>
                    <w:bidi w:val="0"/>
                    <w:ind w:left="0" w:leftChars="0" w:right="0" w:rightChars="0" w:firstLine="0" w:firstLineChars="0"/>
                    <w:jc w:val="center"/>
                    <w:rPr>
                      <w:rFonts w:hint="default" w:eastAsia="宋体"/>
                      <w:lang w:val="en-US" w:eastAsia="zh-CN"/>
                    </w:rPr>
                  </w:pPr>
                  <w:r>
                    <w:rPr>
                      <w:rFonts w:hint="eastAsia"/>
                      <w:lang w:val="en-US" w:eastAsia="zh-CN"/>
                    </w:rPr>
                    <w:t>2.377×10</w:t>
                  </w:r>
                  <w:r>
                    <w:rPr>
                      <w:rFonts w:hint="eastAsia"/>
                      <w:vertAlign w:val="superscript"/>
                      <w:lang w:val="en-US" w:eastAsia="zh-CN"/>
                    </w:rPr>
                    <w:t>-5</w:t>
                  </w:r>
                </w:p>
              </w:tc>
              <w:tc>
                <w:tcPr>
                  <w:tcW w:w="0" w:type="auto"/>
                  <w:tcBorders>
                    <w:tl2br w:val="nil"/>
                    <w:tr2bl w:val="nil"/>
                  </w:tcBorders>
                  <w:vAlign w:val="center"/>
                </w:tcPr>
                <w:p w14:paraId="1AC71A9E">
                  <w:pPr>
                    <w:pStyle w:val="165"/>
                    <w:snapToGrid w:val="0"/>
                    <w:rPr>
                      <w:rFonts w:hint="eastAsia"/>
                    </w:rPr>
                  </w:pPr>
                  <w:r>
                    <w:t>0.06</w:t>
                  </w:r>
                </w:p>
              </w:tc>
              <w:tc>
                <w:tcPr>
                  <w:tcW w:w="0" w:type="auto"/>
                  <w:tcBorders>
                    <w:tl2br w:val="nil"/>
                    <w:tr2bl w:val="nil"/>
                  </w:tcBorders>
                  <w:vAlign w:val="center"/>
                </w:tcPr>
                <w:p w14:paraId="27E73C81">
                  <w:pPr>
                    <w:pStyle w:val="38"/>
                    <w:bidi w:val="0"/>
                    <w:rPr>
                      <w:rFonts w:hint="eastAsia"/>
                    </w:rPr>
                  </w:pPr>
                  <w:r>
                    <w:rPr>
                      <w:rFonts w:hint="eastAsia"/>
                      <w:lang w:val="en-US" w:eastAsia="zh-CN"/>
                    </w:rPr>
                    <w:t>达标</w:t>
                  </w:r>
                </w:p>
              </w:tc>
            </w:tr>
          </w:tbl>
          <w:p w14:paraId="07F106AB">
            <w:pPr>
              <w:spacing w:line="336" w:lineRule="auto"/>
              <w:ind w:firstLine="482" w:firstLineChars="200"/>
              <w:rPr>
                <w:b/>
                <w:bCs/>
                <w:sz w:val="24"/>
              </w:rPr>
            </w:pPr>
            <w:r>
              <w:rPr>
                <w:rFonts w:hint="eastAsia"/>
                <w:b/>
                <w:bCs/>
                <w:sz w:val="24"/>
                <w:lang w:val="en-US" w:eastAsia="zh-CN"/>
              </w:rPr>
              <w:t>6</w:t>
            </w:r>
            <w:r>
              <w:rPr>
                <w:rFonts w:hint="eastAsia"/>
                <w:b/>
                <w:bCs/>
                <w:sz w:val="24"/>
              </w:rPr>
              <w:t>.</w:t>
            </w:r>
            <w:r>
              <w:rPr>
                <w:b/>
                <w:bCs/>
                <w:sz w:val="24"/>
              </w:rPr>
              <w:t>废气治理设施可行性分析</w:t>
            </w:r>
          </w:p>
          <w:p w14:paraId="363DDA6D">
            <w:pPr>
              <w:spacing w:line="336" w:lineRule="auto"/>
              <w:ind w:firstLine="480" w:firstLineChars="200"/>
              <w:rPr>
                <w:rFonts w:hint="eastAsia"/>
                <w:sz w:val="24"/>
              </w:rPr>
            </w:pPr>
            <w:r>
              <w:rPr>
                <w:rFonts w:hint="eastAsia"/>
                <w:sz w:val="24"/>
              </w:rPr>
              <w:t>参考《紫外光催化氧化在污水处理厂除臭工程中的应用》（环境工程，2011年12月第29卷第6期）可知，通过采用合适的构筑物加盖形式，设计合理的换气次数，采用紫外光催化氧化设备处理污水处理厂产生的恶臭气体，运行结果表明：该设备具有除臭效率高、操作简单、阻力小及不产生二次污染的优良性能；该工艺对产生恶臭的物质均能达标排放，且占地少，投资省，适合用于城镇污水处理厂除臭工程，具有良好的经济效益和广阔的发展前景；总体来说，“UV光氧光解催化”除臭装置在运行稳定时对氨和硫化氢的去除率较高。</w:t>
            </w:r>
          </w:p>
          <w:p w14:paraId="338996DA">
            <w:pPr>
              <w:spacing w:line="336" w:lineRule="auto"/>
              <w:ind w:firstLine="480" w:firstLineChars="200"/>
              <w:rPr>
                <w:sz w:val="24"/>
              </w:rPr>
            </w:pPr>
            <w:r>
              <w:rPr>
                <w:rFonts w:hint="eastAsia"/>
                <w:sz w:val="24"/>
              </w:rPr>
              <w:t>本项目使用“</w:t>
            </w:r>
            <w:r>
              <w:rPr>
                <w:rFonts w:hint="eastAsia"/>
                <w:sz w:val="24"/>
                <w:lang w:eastAsia="zh-CN"/>
              </w:rPr>
              <w:t>UV光氧光解催化</w:t>
            </w:r>
            <w:r>
              <w:rPr>
                <w:rFonts w:hint="eastAsia"/>
                <w:sz w:val="24"/>
              </w:rPr>
              <w:t>除臭装置”处理氨气、硫化氢等恶臭气体，处置后通过15m高排气筒有组织排放。通过上述源强核算及预测分析，项目废气处理后均能达标排放，项目所用的废气治理措施有效。</w:t>
            </w:r>
          </w:p>
          <w:p w14:paraId="13FEFA8B">
            <w:pPr>
              <w:adjustRightInd w:val="0"/>
              <w:snapToGrid w:val="0"/>
              <w:spacing w:line="348" w:lineRule="auto"/>
              <w:ind w:firstLine="482" w:firstLineChars="200"/>
              <w:rPr>
                <w:b/>
                <w:color w:val="000000"/>
                <w:kern w:val="0"/>
                <w:sz w:val="24"/>
              </w:rPr>
            </w:pPr>
            <w:r>
              <w:rPr>
                <w:rFonts w:hint="eastAsia"/>
                <w:b/>
                <w:color w:val="000000"/>
                <w:kern w:val="0"/>
                <w:sz w:val="24"/>
                <w:lang w:val="en-US" w:eastAsia="zh-CN"/>
              </w:rPr>
              <w:t>7</w:t>
            </w:r>
            <w:r>
              <w:rPr>
                <w:rFonts w:hint="eastAsia"/>
                <w:b/>
                <w:color w:val="000000"/>
                <w:kern w:val="0"/>
                <w:sz w:val="24"/>
              </w:rPr>
              <w:t>.卫生防护距离确定</w:t>
            </w:r>
          </w:p>
          <w:p w14:paraId="7872DF33">
            <w:pPr>
              <w:spacing w:line="360" w:lineRule="auto"/>
              <w:ind w:firstLine="480" w:firstLineChars="200"/>
            </w:pPr>
            <w:r>
              <w:rPr>
                <w:kern w:val="0"/>
                <w:sz w:val="24"/>
              </w:rPr>
              <w:t>卫生防护距离是指产生有害因素的部门（车间或工段）的边界至居住区边界的最小距离。根据《大气有害物质无组织排放卫生防护距离推导技术导则》（GB/T39499-2020），卫生防护距离指为了防控通过无组织排放的大气污染物的健康危害，产生大气有害物质生产单元（生产车间和作业场所）的边界至敏感区边界的最小距离。</w:t>
            </w:r>
            <w:r>
              <w:rPr>
                <w:rFonts w:hint="eastAsia"/>
                <w:sz w:val="24"/>
                <w:lang w:val="zh-CN"/>
              </w:rPr>
              <w:t>根据项目特点，生产中存在无组织废气排放，主要污染物为</w:t>
            </w:r>
            <w:r>
              <w:rPr>
                <w:rFonts w:hint="eastAsia"/>
                <w:sz w:val="24"/>
              </w:rPr>
              <w:t>氨和硫化氢，根据《大气有害物质无组织排放卫生防护距离推导技术导则》（GB/T39499-2020），当企业无组织排放存在多种污染物时，基于单个污染物的等标排放量（</w:t>
            </w:r>
            <w:r>
              <w:rPr>
                <w:sz w:val="24"/>
              </w:rPr>
              <w:t>Qc</w:t>
            </w:r>
            <w:r>
              <w:rPr>
                <w:rFonts w:hint="eastAsia"/>
                <w:sz w:val="24"/>
              </w:rPr>
              <w:t>/Cm）计算结果，确定企业主要特征大气有害物质。项目无组织排放源特征大气有害物质判定详见下表：</w:t>
            </w:r>
          </w:p>
          <w:p w14:paraId="25F13F84">
            <w:pPr>
              <w:numPr>
                <w:ilvl w:val="3"/>
                <w:numId w:val="9"/>
              </w:numPr>
              <w:jc w:val="center"/>
              <w:rPr>
                <w:b/>
                <w:szCs w:val="21"/>
              </w:rPr>
            </w:pPr>
            <w:r>
              <w:rPr>
                <w:rFonts w:hint="eastAsia"/>
                <w:b/>
                <w:szCs w:val="21"/>
              </w:rPr>
              <w:t>项目无组织排放源特征大气有害物质判定一览表</w:t>
            </w:r>
          </w:p>
          <w:tbl>
            <w:tblPr>
              <w:tblStyle w:val="28"/>
              <w:tblW w:w="88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65"/>
              <w:gridCol w:w="1434"/>
              <w:gridCol w:w="1349"/>
              <w:gridCol w:w="1540"/>
              <w:gridCol w:w="1226"/>
              <w:gridCol w:w="1544"/>
            </w:tblGrid>
            <w:tr w14:paraId="67F4D7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765" w:type="dxa"/>
                  <w:tcBorders>
                    <w:tl2br w:val="nil"/>
                    <w:tr2bl w:val="nil"/>
                  </w:tcBorders>
                  <w:noWrap/>
                  <w:vAlign w:val="center"/>
                </w:tcPr>
                <w:p w14:paraId="5B31ABBD">
                  <w:pPr>
                    <w:spacing w:line="240" w:lineRule="atLeast"/>
                    <w:jc w:val="center"/>
                    <w:rPr>
                      <w:b/>
                      <w:bCs/>
                      <w:szCs w:val="21"/>
                    </w:rPr>
                  </w:pPr>
                  <w:r>
                    <w:rPr>
                      <w:rFonts w:hint="eastAsia"/>
                      <w:b/>
                      <w:bCs/>
                      <w:szCs w:val="21"/>
                    </w:rPr>
                    <w:t>项目工程</w:t>
                  </w:r>
                </w:p>
              </w:tc>
              <w:tc>
                <w:tcPr>
                  <w:tcW w:w="1434" w:type="dxa"/>
                  <w:tcBorders>
                    <w:tl2br w:val="nil"/>
                    <w:tr2bl w:val="nil"/>
                  </w:tcBorders>
                  <w:noWrap/>
                  <w:vAlign w:val="center"/>
                </w:tcPr>
                <w:p w14:paraId="48D786A1">
                  <w:pPr>
                    <w:spacing w:line="240" w:lineRule="atLeast"/>
                    <w:jc w:val="center"/>
                    <w:rPr>
                      <w:b/>
                      <w:bCs/>
                      <w:szCs w:val="21"/>
                    </w:rPr>
                  </w:pPr>
                  <w:r>
                    <w:rPr>
                      <w:rFonts w:hint="eastAsia"/>
                      <w:b/>
                      <w:bCs/>
                      <w:szCs w:val="21"/>
                    </w:rPr>
                    <w:t>污染因子</w:t>
                  </w:r>
                </w:p>
              </w:tc>
              <w:tc>
                <w:tcPr>
                  <w:tcW w:w="1349" w:type="dxa"/>
                  <w:tcBorders>
                    <w:tl2br w:val="nil"/>
                    <w:tr2bl w:val="nil"/>
                  </w:tcBorders>
                  <w:noWrap/>
                  <w:vAlign w:val="center"/>
                </w:tcPr>
                <w:p w14:paraId="0A036602">
                  <w:pPr>
                    <w:spacing w:line="240" w:lineRule="atLeast"/>
                    <w:jc w:val="center"/>
                    <w:rPr>
                      <w:b/>
                      <w:bCs/>
                      <w:szCs w:val="21"/>
                    </w:rPr>
                  </w:pPr>
                  <w:r>
                    <w:rPr>
                      <w:sz w:val="24"/>
                      <w:szCs w:val="21"/>
                    </w:rPr>
                    <w:t>Qc</w:t>
                  </w:r>
                  <w:r>
                    <w:rPr>
                      <w:rFonts w:hint="eastAsia"/>
                      <w:sz w:val="24"/>
                      <w:szCs w:val="21"/>
                    </w:rPr>
                    <w:t>：</w:t>
                  </w:r>
                  <w:r>
                    <w:rPr>
                      <w:rFonts w:hint="eastAsia"/>
                      <w:b/>
                      <w:bCs/>
                      <w:szCs w:val="21"/>
                    </w:rPr>
                    <w:t>排放速率kg/h</w:t>
                  </w:r>
                </w:p>
              </w:tc>
              <w:tc>
                <w:tcPr>
                  <w:tcW w:w="1540" w:type="dxa"/>
                  <w:tcBorders>
                    <w:tl2br w:val="nil"/>
                    <w:tr2bl w:val="nil"/>
                  </w:tcBorders>
                  <w:noWrap/>
                  <w:vAlign w:val="center"/>
                </w:tcPr>
                <w:p w14:paraId="1AAE97BE">
                  <w:pPr>
                    <w:spacing w:line="240" w:lineRule="atLeast"/>
                    <w:jc w:val="center"/>
                    <w:rPr>
                      <w:b/>
                      <w:bCs/>
                      <w:szCs w:val="21"/>
                    </w:rPr>
                  </w:pPr>
                  <w:r>
                    <w:rPr>
                      <w:rFonts w:hint="eastAsia"/>
                      <w:kern w:val="0"/>
                      <w:sz w:val="24"/>
                      <w:szCs w:val="21"/>
                    </w:rPr>
                    <w:t>Cm：</w:t>
                  </w:r>
                  <w:r>
                    <w:rPr>
                      <w:rFonts w:hint="eastAsia"/>
                      <w:b/>
                      <w:bCs/>
                      <w:szCs w:val="21"/>
                    </w:rPr>
                    <w:t>质量标准mg/</w:t>
                  </w:r>
                  <w:r>
                    <w:t>m</w:t>
                  </w:r>
                  <w:r>
                    <w:rPr>
                      <w:vertAlign w:val="superscript"/>
                    </w:rPr>
                    <w:t>3</w:t>
                  </w:r>
                </w:p>
              </w:tc>
              <w:tc>
                <w:tcPr>
                  <w:tcW w:w="1226" w:type="dxa"/>
                  <w:tcBorders>
                    <w:tl2br w:val="nil"/>
                    <w:tr2bl w:val="nil"/>
                  </w:tcBorders>
                  <w:noWrap/>
                  <w:vAlign w:val="center"/>
                </w:tcPr>
                <w:p w14:paraId="077B553E">
                  <w:pPr>
                    <w:spacing w:line="240" w:lineRule="atLeast"/>
                    <w:jc w:val="center"/>
                    <w:rPr>
                      <w:b/>
                      <w:bCs/>
                      <w:szCs w:val="21"/>
                    </w:rPr>
                  </w:pPr>
                  <w:r>
                    <w:rPr>
                      <w:rFonts w:hint="eastAsia"/>
                      <w:b/>
                      <w:bCs/>
                      <w:szCs w:val="21"/>
                    </w:rPr>
                    <w:t>等标排放量</w:t>
                  </w:r>
                </w:p>
              </w:tc>
              <w:tc>
                <w:tcPr>
                  <w:tcW w:w="1544" w:type="dxa"/>
                  <w:tcBorders>
                    <w:tl2br w:val="nil"/>
                    <w:tr2bl w:val="nil"/>
                  </w:tcBorders>
                  <w:noWrap/>
                  <w:vAlign w:val="center"/>
                </w:tcPr>
                <w:p w14:paraId="5B7D4B8A">
                  <w:pPr>
                    <w:spacing w:line="240" w:lineRule="atLeast"/>
                    <w:jc w:val="center"/>
                    <w:rPr>
                      <w:b/>
                      <w:bCs/>
                      <w:szCs w:val="21"/>
                    </w:rPr>
                  </w:pPr>
                  <w:r>
                    <w:rPr>
                      <w:rFonts w:hint="eastAsia"/>
                      <w:b/>
                      <w:bCs/>
                      <w:szCs w:val="21"/>
                    </w:rPr>
                    <w:t>特征大气有害物质</w:t>
                  </w:r>
                </w:p>
              </w:tc>
            </w:tr>
            <w:tr w14:paraId="5725B6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5" w:type="dxa"/>
                  <w:vMerge w:val="restart"/>
                  <w:tcBorders>
                    <w:tl2br w:val="nil"/>
                    <w:tr2bl w:val="nil"/>
                  </w:tcBorders>
                  <w:noWrap/>
                  <w:vAlign w:val="center"/>
                </w:tcPr>
                <w:p w14:paraId="362D46FC">
                  <w:pPr>
                    <w:jc w:val="center"/>
                    <w:rPr>
                      <w:rFonts w:hint="eastAsia" w:eastAsia="宋体"/>
                      <w:szCs w:val="21"/>
                      <w:lang w:eastAsia="zh-CN"/>
                    </w:rPr>
                  </w:pPr>
                  <w:r>
                    <w:rPr>
                      <w:rFonts w:hint="eastAsia"/>
                      <w:szCs w:val="21"/>
                      <w:lang w:eastAsia="zh-CN"/>
                    </w:rPr>
                    <w:t>宁都县青塘镇污水处理厂工程</w:t>
                  </w:r>
                </w:p>
              </w:tc>
              <w:tc>
                <w:tcPr>
                  <w:tcW w:w="1434" w:type="dxa"/>
                  <w:tcBorders>
                    <w:tl2br w:val="nil"/>
                    <w:tr2bl w:val="nil"/>
                  </w:tcBorders>
                  <w:noWrap/>
                  <w:vAlign w:val="center"/>
                </w:tcPr>
                <w:p w14:paraId="695AD2DF">
                  <w:pPr>
                    <w:jc w:val="center"/>
                    <w:rPr>
                      <w:szCs w:val="21"/>
                    </w:rPr>
                  </w:pPr>
                  <w:r>
                    <w:rPr>
                      <w:rFonts w:hint="eastAsia"/>
                      <w:szCs w:val="21"/>
                    </w:rPr>
                    <w:t>氨</w:t>
                  </w:r>
                </w:p>
              </w:tc>
              <w:tc>
                <w:tcPr>
                  <w:tcW w:w="1349" w:type="dxa"/>
                  <w:tcBorders>
                    <w:tl2br w:val="nil"/>
                    <w:tr2bl w:val="nil"/>
                  </w:tcBorders>
                  <w:noWrap/>
                  <w:vAlign w:val="center"/>
                </w:tcPr>
                <w:p w14:paraId="4714B3E0">
                  <w:pPr>
                    <w:pStyle w:val="38"/>
                    <w:bidi w:val="0"/>
                  </w:pPr>
                  <w:r>
                    <w:rPr>
                      <w:rFonts w:hint="default"/>
                      <w:lang w:val="en-US" w:eastAsia="zh-CN"/>
                    </w:rPr>
                    <w:t>0.001</w:t>
                  </w:r>
                </w:p>
              </w:tc>
              <w:tc>
                <w:tcPr>
                  <w:tcW w:w="1540" w:type="dxa"/>
                  <w:tcBorders>
                    <w:tl2br w:val="nil"/>
                    <w:tr2bl w:val="nil"/>
                  </w:tcBorders>
                  <w:noWrap/>
                  <w:vAlign w:val="center"/>
                </w:tcPr>
                <w:p w14:paraId="3BD14A6F">
                  <w:pPr>
                    <w:pStyle w:val="38"/>
                    <w:bidi w:val="0"/>
                  </w:pPr>
                  <w:r>
                    <w:rPr>
                      <w:rFonts w:hint="default"/>
                      <w:lang w:val="en-US" w:eastAsia="zh-CN"/>
                    </w:rPr>
                    <w:t>0.2</w:t>
                  </w:r>
                </w:p>
              </w:tc>
              <w:tc>
                <w:tcPr>
                  <w:tcW w:w="1226" w:type="dxa"/>
                  <w:tcBorders>
                    <w:tl2br w:val="nil"/>
                    <w:tr2bl w:val="nil"/>
                  </w:tcBorders>
                  <w:noWrap/>
                  <w:vAlign w:val="center"/>
                </w:tcPr>
                <w:p w14:paraId="745430CC">
                  <w:pPr>
                    <w:pStyle w:val="38"/>
                    <w:bidi w:val="0"/>
                  </w:pPr>
                  <w:r>
                    <w:rPr>
                      <w:rFonts w:hint="default"/>
                      <w:lang w:val="en-US" w:eastAsia="zh-CN"/>
                    </w:rPr>
                    <w:t>0.005</w:t>
                  </w:r>
                </w:p>
              </w:tc>
              <w:tc>
                <w:tcPr>
                  <w:tcW w:w="1544" w:type="dxa"/>
                  <w:vMerge w:val="restart"/>
                  <w:tcBorders>
                    <w:tl2br w:val="nil"/>
                    <w:tr2bl w:val="nil"/>
                  </w:tcBorders>
                  <w:noWrap/>
                  <w:vAlign w:val="center"/>
                </w:tcPr>
                <w:p w14:paraId="04BD138E">
                  <w:pPr>
                    <w:jc w:val="center"/>
                    <w:rPr>
                      <w:szCs w:val="21"/>
                    </w:rPr>
                  </w:pPr>
                  <w:r>
                    <w:rPr>
                      <w:rFonts w:hint="eastAsia"/>
                      <w:szCs w:val="21"/>
                    </w:rPr>
                    <w:t>氨</w:t>
                  </w:r>
                </w:p>
              </w:tc>
            </w:tr>
            <w:tr w14:paraId="13A658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5" w:type="dxa"/>
                  <w:vMerge w:val="continue"/>
                  <w:tcBorders>
                    <w:tl2br w:val="nil"/>
                    <w:tr2bl w:val="nil"/>
                  </w:tcBorders>
                  <w:noWrap/>
                  <w:vAlign w:val="center"/>
                </w:tcPr>
                <w:p w14:paraId="3E4CEC0A">
                  <w:pPr>
                    <w:jc w:val="center"/>
                    <w:rPr>
                      <w:szCs w:val="21"/>
                    </w:rPr>
                  </w:pPr>
                </w:p>
              </w:tc>
              <w:tc>
                <w:tcPr>
                  <w:tcW w:w="1434" w:type="dxa"/>
                  <w:tcBorders>
                    <w:tl2br w:val="nil"/>
                    <w:tr2bl w:val="nil"/>
                  </w:tcBorders>
                  <w:noWrap/>
                  <w:vAlign w:val="center"/>
                </w:tcPr>
                <w:p w14:paraId="4EC2FE60">
                  <w:pPr>
                    <w:jc w:val="center"/>
                    <w:rPr>
                      <w:szCs w:val="21"/>
                    </w:rPr>
                  </w:pPr>
                  <w:r>
                    <w:rPr>
                      <w:rFonts w:hint="eastAsia"/>
                      <w:szCs w:val="21"/>
                    </w:rPr>
                    <w:t>硫化氢</w:t>
                  </w:r>
                </w:p>
              </w:tc>
              <w:tc>
                <w:tcPr>
                  <w:tcW w:w="1349" w:type="dxa"/>
                  <w:tcBorders>
                    <w:tl2br w:val="nil"/>
                    <w:tr2bl w:val="nil"/>
                  </w:tcBorders>
                  <w:noWrap/>
                  <w:vAlign w:val="center"/>
                </w:tcPr>
                <w:p w14:paraId="06285E62">
                  <w:pPr>
                    <w:pStyle w:val="38"/>
                    <w:bidi w:val="0"/>
                  </w:pPr>
                  <w:r>
                    <w:rPr>
                      <w:rFonts w:hint="default"/>
                      <w:lang w:val="en-US" w:eastAsia="zh-CN"/>
                    </w:rPr>
                    <w:t>0.000005</w:t>
                  </w:r>
                </w:p>
              </w:tc>
              <w:tc>
                <w:tcPr>
                  <w:tcW w:w="1540" w:type="dxa"/>
                  <w:tcBorders>
                    <w:tl2br w:val="nil"/>
                    <w:tr2bl w:val="nil"/>
                  </w:tcBorders>
                  <w:noWrap/>
                  <w:vAlign w:val="center"/>
                </w:tcPr>
                <w:p w14:paraId="702E2162">
                  <w:pPr>
                    <w:pStyle w:val="38"/>
                    <w:bidi w:val="0"/>
                  </w:pPr>
                  <w:r>
                    <w:rPr>
                      <w:rFonts w:hint="default"/>
                      <w:lang w:val="en-US" w:eastAsia="zh-CN"/>
                    </w:rPr>
                    <w:t>0.01</w:t>
                  </w:r>
                </w:p>
              </w:tc>
              <w:tc>
                <w:tcPr>
                  <w:tcW w:w="1226" w:type="dxa"/>
                  <w:tcBorders>
                    <w:tl2br w:val="nil"/>
                    <w:tr2bl w:val="nil"/>
                  </w:tcBorders>
                  <w:noWrap/>
                  <w:vAlign w:val="center"/>
                </w:tcPr>
                <w:p w14:paraId="73F40CEF">
                  <w:pPr>
                    <w:pStyle w:val="38"/>
                    <w:bidi w:val="0"/>
                  </w:pPr>
                  <w:r>
                    <w:rPr>
                      <w:rFonts w:hint="default"/>
                      <w:lang w:val="en-US" w:eastAsia="zh-CN"/>
                    </w:rPr>
                    <w:t>0.001</w:t>
                  </w:r>
                </w:p>
              </w:tc>
              <w:tc>
                <w:tcPr>
                  <w:tcW w:w="1544" w:type="dxa"/>
                  <w:vMerge w:val="continue"/>
                  <w:tcBorders>
                    <w:tl2br w:val="nil"/>
                    <w:tr2bl w:val="nil"/>
                  </w:tcBorders>
                  <w:noWrap/>
                  <w:vAlign w:val="center"/>
                </w:tcPr>
                <w:p w14:paraId="47FA14BB">
                  <w:pPr>
                    <w:jc w:val="center"/>
                    <w:rPr>
                      <w:szCs w:val="21"/>
                    </w:rPr>
                  </w:pPr>
                </w:p>
              </w:tc>
            </w:tr>
          </w:tbl>
          <w:p w14:paraId="4069CE0D">
            <w:pPr>
              <w:autoSpaceDE w:val="0"/>
              <w:autoSpaceDN w:val="0"/>
              <w:adjustRightInd w:val="0"/>
              <w:spacing w:line="348" w:lineRule="auto"/>
              <w:ind w:firstLine="480" w:firstLineChars="200"/>
              <w:jc w:val="left"/>
              <w:rPr>
                <w:kern w:val="0"/>
                <w:sz w:val="24"/>
              </w:rPr>
            </w:pPr>
            <w:r>
              <w:rPr>
                <w:rFonts w:hint="eastAsia"/>
                <w:kern w:val="0"/>
                <w:sz w:val="24"/>
              </w:rPr>
              <w:t>根据上表确定本项目无组织排放的特征大气有害物质</w:t>
            </w:r>
            <w:r>
              <w:rPr>
                <w:kern w:val="0"/>
                <w:sz w:val="24"/>
              </w:rPr>
              <w:t>。</w:t>
            </w:r>
          </w:p>
          <w:p w14:paraId="1420DAC4">
            <w:pPr>
              <w:spacing w:line="348" w:lineRule="auto"/>
              <w:ind w:firstLine="480" w:firstLineChars="200"/>
              <w:rPr>
                <w:sz w:val="24"/>
              </w:rPr>
            </w:pPr>
            <w:r>
              <w:rPr>
                <w:sz w:val="24"/>
              </w:rPr>
              <w:t>根据GB/T39499-2020的有关规定，确定无组织排放源的卫生防护距离初值，可由下式计算：</w:t>
            </w:r>
          </w:p>
          <w:p w14:paraId="15991E69">
            <w:pPr>
              <w:autoSpaceDE w:val="0"/>
              <w:autoSpaceDN w:val="0"/>
              <w:adjustRightInd w:val="0"/>
              <w:spacing w:line="348" w:lineRule="auto"/>
              <w:ind w:left="420" w:hanging="420" w:hangingChars="200"/>
              <w:jc w:val="center"/>
              <w:rPr>
                <w:sz w:val="24"/>
              </w:rPr>
            </w:pPr>
            <w:r>
              <w:rPr>
                <w:position w:val="-30"/>
              </w:rPr>
              <w:object>
                <v:shape id="_x0000_i1025" o:spt="75" type="#_x0000_t75" style="height:34pt;width:138.8pt;" o:ole="t" filled="f" o:preferrelative="t" stroked="f" coordsize="21600,21600">
                  <v:path/>
                  <v:fill on="f" focussize="0,0"/>
                  <v:stroke on="f" joinstyle="miter"/>
                  <v:imagedata r:id="rId22" o:title=""/>
                  <o:lock v:ext="edit" aspectratio="f"/>
                  <w10:wrap type="none"/>
                  <w10:anchorlock/>
                </v:shape>
                <o:OLEObject Type="Embed" ProgID="Equation.2" ShapeID="_x0000_i1025" DrawAspect="Content" ObjectID="_1468075725" r:id="rId21">
                  <o:LockedField>false</o:LockedField>
                </o:OLEObject>
              </w:object>
            </w:r>
          </w:p>
          <w:p w14:paraId="60C4E563">
            <w:pPr>
              <w:spacing w:line="348" w:lineRule="auto"/>
              <w:ind w:firstLine="480" w:firstLineChars="200"/>
              <w:rPr>
                <w:sz w:val="24"/>
              </w:rPr>
            </w:pPr>
            <w:r>
              <w:rPr>
                <w:sz w:val="24"/>
              </w:rPr>
              <w:t>式中：Qc——大气有害物质的无组织排放量（kg/h）</w:t>
            </w:r>
          </w:p>
          <w:p w14:paraId="0B69DC25">
            <w:pPr>
              <w:spacing w:line="348" w:lineRule="auto"/>
              <w:ind w:firstLine="480" w:firstLineChars="200"/>
              <w:rPr>
                <w:sz w:val="24"/>
              </w:rPr>
            </w:pPr>
            <w:r>
              <w:rPr>
                <w:sz w:val="24"/>
              </w:rPr>
              <w:t>Cm——大气有害物质环境空气质量的标准限值（mg/</w:t>
            </w:r>
            <w:r>
              <w:t>m</w:t>
            </w:r>
            <w:r>
              <w:rPr>
                <w:vertAlign w:val="superscript"/>
              </w:rPr>
              <w:t>3</w:t>
            </w:r>
            <w:r>
              <w:rPr>
                <w:sz w:val="24"/>
              </w:rPr>
              <w:t>）</w:t>
            </w:r>
          </w:p>
          <w:p w14:paraId="009E3541">
            <w:pPr>
              <w:spacing w:line="348" w:lineRule="auto"/>
              <w:ind w:firstLine="480" w:firstLineChars="200"/>
              <w:rPr>
                <w:sz w:val="24"/>
              </w:rPr>
            </w:pPr>
            <w:r>
              <w:rPr>
                <w:sz w:val="24"/>
              </w:rPr>
              <w:t>L——大气有害物质卫生防护距离初值（m）</w:t>
            </w:r>
          </w:p>
          <w:p w14:paraId="02A9FFB0">
            <w:pPr>
              <w:spacing w:line="348" w:lineRule="auto"/>
              <w:ind w:firstLine="480" w:firstLineChars="200"/>
              <w:rPr>
                <w:sz w:val="24"/>
              </w:rPr>
            </w:pPr>
            <w:r>
              <w:rPr>
                <w:sz w:val="24"/>
              </w:rPr>
              <w:t>r——大气有害物质无组织排放源所在生产单元的等效半径（m）</w:t>
            </w:r>
          </w:p>
          <w:p w14:paraId="6F9C64CB">
            <w:pPr>
              <w:spacing w:after="120" w:line="348" w:lineRule="auto"/>
              <w:ind w:left="420" w:leftChars="200"/>
              <w:rPr>
                <w:kern w:val="0"/>
                <w:sz w:val="24"/>
                <w:szCs w:val="20"/>
              </w:rPr>
            </w:pPr>
            <w:r>
              <w:rPr>
                <w:kern w:val="0"/>
                <w:sz w:val="24"/>
                <w:szCs w:val="20"/>
              </w:rPr>
              <w:t>根据该生产单元占地面积S(</w:t>
            </w:r>
            <w:r>
              <w:t>m</w:t>
            </w:r>
            <w:r>
              <w:rPr>
                <w:vertAlign w:val="superscript"/>
              </w:rPr>
              <w:t>2</w:t>
            </w:r>
            <w:r>
              <w:rPr>
                <w:kern w:val="0"/>
                <w:sz w:val="24"/>
                <w:szCs w:val="20"/>
              </w:rPr>
              <w:t>)计算，γ=(S/π)</w:t>
            </w:r>
            <w:r>
              <w:rPr>
                <w:kern w:val="0"/>
                <w:sz w:val="24"/>
                <w:szCs w:val="20"/>
                <w:vertAlign w:val="superscript"/>
              </w:rPr>
              <w:t>0.5</w:t>
            </w:r>
            <w:r>
              <w:rPr>
                <w:kern w:val="0"/>
                <w:sz w:val="24"/>
                <w:szCs w:val="20"/>
              </w:rPr>
              <w:t>；</w:t>
            </w:r>
          </w:p>
          <w:p w14:paraId="7F884849">
            <w:pPr>
              <w:spacing w:line="348" w:lineRule="auto"/>
              <w:ind w:firstLine="480" w:firstLineChars="200"/>
              <w:rPr>
                <w:sz w:val="24"/>
              </w:rPr>
            </w:pPr>
            <w:r>
              <w:rPr>
                <w:sz w:val="24"/>
              </w:rPr>
              <w:t>A、B、C、D——卫生防护距离初值计算系数。无因次，根据工业企业所在地近5年平均风速及大气污染源构成类别查取，</w:t>
            </w:r>
            <w:r>
              <w:rPr>
                <w:rFonts w:hint="eastAsia"/>
                <w:sz w:val="24"/>
                <w:lang w:val="en-US" w:eastAsia="zh-CN"/>
              </w:rPr>
              <w:t>宁都县</w:t>
            </w:r>
            <w:r>
              <w:rPr>
                <w:sz w:val="24"/>
              </w:rPr>
              <w:t>近五年平均风速为1.</w:t>
            </w:r>
            <w:r>
              <w:rPr>
                <w:rFonts w:hint="eastAsia"/>
                <w:sz w:val="24"/>
                <w:lang w:val="en-US" w:eastAsia="zh-CN"/>
              </w:rPr>
              <w:t>95</w:t>
            </w:r>
            <w:r>
              <w:rPr>
                <w:sz w:val="24"/>
              </w:rPr>
              <w:t>m/s，选定参数A为400，参数B为0.01，参数C为1.85，参数D为0.78。</w:t>
            </w:r>
          </w:p>
          <w:p w14:paraId="192AE51B">
            <w:pPr>
              <w:spacing w:line="348" w:lineRule="auto"/>
              <w:ind w:firstLine="480" w:firstLineChars="200"/>
              <w:rPr>
                <w:sz w:val="24"/>
              </w:rPr>
            </w:pPr>
            <w:r>
              <w:rPr>
                <w:sz w:val="24"/>
              </w:rPr>
              <w:t>代入公式计算后得到结果见下表。</w:t>
            </w:r>
          </w:p>
          <w:p w14:paraId="5C6CDC07">
            <w:pPr>
              <w:numPr>
                <w:ilvl w:val="3"/>
                <w:numId w:val="9"/>
              </w:numPr>
              <w:jc w:val="center"/>
              <w:rPr>
                <w:b/>
                <w:szCs w:val="21"/>
                <w:lang w:val="zh-CN"/>
              </w:rPr>
            </w:pPr>
            <w:r>
              <w:rPr>
                <w:b/>
                <w:szCs w:val="21"/>
                <w:lang w:val="zh-CN"/>
              </w:rPr>
              <w:t>项目卫生防护距离计算参数及计算结果</w:t>
            </w:r>
            <w:r>
              <w:rPr>
                <w:rFonts w:hint="eastAsia"/>
                <w:b/>
                <w:szCs w:val="21"/>
              </w:rPr>
              <w:t>一览表</w:t>
            </w:r>
          </w:p>
          <w:tbl>
            <w:tblPr>
              <w:tblStyle w:val="28"/>
              <w:tblW w:w="495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57"/>
              <w:gridCol w:w="1045"/>
              <w:gridCol w:w="1035"/>
              <w:gridCol w:w="985"/>
              <w:gridCol w:w="1013"/>
              <w:gridCol w:w="1106"/>
              <w:gridCol w:w="1134"/>
            </w:tblGrid>
            <w:tr w14:paraId="72A82D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0" w:type="pct"/>
                  <w:vAlign w:val="center"/>
                </w:tcPr>
                <w:p w14:paraId="02689810">
                  <w:pPr>
                    <w:autoSpaceDE w:val="0"/>
                    <w:autoSpaceDN w:val="0"/>
                    <w:jc w:val="center"/>
                    <w:rPr>
                      <w:b/>
                      <w:szCs w:val="21"/>
                      <w:lang w:val="zh-CN"/>
                    </w:rPr>
                  </w:pPr>
                  <w:r>
                    <w:rPr>
                      <w:rFonts w:hint="eastAsia"/>
                      <w:b/>
                      <w:szCs w:val="21"/>
                    </w:rPr>
                    <w:t>面源</w:t>
                  </w:r>
                </w:p>
              </w:tc>
              <w:tc>
                <w:tcPr>
                  <w:tcW w:w="595" w:type="pct"/>
                  <w:vAlign w:val="center"/>
                </w:tcPr>
                <w:p w14:paraId="51A0D121">
                  <w:pPr>
                    <w:autoSpaceDE w:val="0"/>
                    <w:autoSpaceDN w:val="0"/>
                    <w:jc w:val="center"/>
                    <w:rPr>
                      <w:b/>
                      <w:szCs w:val="21"/>
                    </w:rPr>
                  </w:pPr>
                  <w:r>
                    <w:rPr>
                      <w:rFonts w:hint="eastAsia"/>
                      <w:b/>
                      <w:szCs w:val="21"/>
                    </w:rPr>
                    <w:t>评价因子</w:t>
                  </w:r>
                </w:p>
              </w:tc>
              <w:tc>
                <w:tcPr>
                  <w:tcW w:w="589" w:type="pct"/>
                  <w:vAlign w:val="center"/>
                </w:tcPr>
                <w:p w14:paraId="0C0DA6AB">
                  <w:pPr>
                    <w:jc w:val="center"/>
                    <w:rPr>
                      <w:b/>
                      <w:szCs w:val="21"/>
                    </w:rPr>
                  </w:pPr>
                  <w:r>
                    <w:rPr>
                      <w:b/>
                      <w:bCs/>
                      <w:szCs w:val="21"/>
                    </w:rPr>
                    <w:t>排放速率（kg/h）</w:t>
                  </w:r>
                </w:p>
              </w:tc>
              <w:tc>
                <w:tcPr>
                  <w:tcW w:w="561" w:type="pct"/>
                  <w:vAlign w:val="center"/>
                </w:tcPr>
                <w:p w14:paraId="04ED033F">
                  <w:pPr>
                    <w:autoSpaceDE w:val="0"/>
                    <w:autoSpaceDN w:val="0"/>
                    <w:jc w:val="center"/>
                    <w:rPr>
                      <w:b/>
                      <w:szCs w:val="21"/>
                    </w:rPr>
                  </w:pPr>
                  <w:r>
                    <w:rPr>
                      <w:rFonts w:hint="eastAsia"/>
                      <w:b/>
                      <w:szCs w:val="21"/>
                    </w:rPr>
                    <w:t>面源长度（m）</w:t>
                  </w:r>
                </w:p>
              </w:tc>
              <w:tc>
                <w:tcPr>
                  <w:tcW w:w="577" w:type="pct"/>
                  <w:vAlign w:val="center"/>
                </w:tcPr>
                <w:p w14:paraId="54C42553">
                  <w:pPr>
                    <w:autoSpaceDE w:val="0"/>
                    <w:autoSpaceDN w:val="0"/>
                    <w:jc w:val="center"/>
                    <w:rPr>
                      <w:b/>
                      <w:szCs w:val="21"/>
                    </w:rPr>
                  </w:pPr>
                  <w:r>
                    <w:rPr>
                      <w:rFonts w:hint="eastAsia"/>
                      <w:b/>
                      <w:szCs w:val="21"/>
                    </w:rPr>
                    <w:t>面源宽度（m）</w:t>
                  </w:r>
                </w:p>
              </w:tc>
              <w:tc>
                <w:tcPr>
                  <w:tcW w:w="630" w:type="pct"/>
                  <w:vAlign w:val="center"/>
                </w:tcPr>
                <w:p w14:paraId="4ED312B5">
                  <w:pPr>
                    <w:autoSpaceDE w:val="0"/>
                    <w:autoSpaceDN w:val="0"/>
                    <w:jc w:val="center"/>
                    <w:rPr>
                      <w:b/>
                      <w:szCs w:val="21"/>
                    </w:rPr>
                  </w:pPr>
                  <w:r>
                    <w:rPr>
                      <w:b/>
                      <w:szCs w:val="21"/>
                      <w:lang w:val="zh-CN"/>
                    </w:rPr>
                    <w:t>卫生防护距离</w:t>
                  </w:r>
                  <w:r>
                    <w:rPr>
                      <w:rFonts w:hint="eastAsia"/>
                      <w:b/>
                      <w:szCs w:val="21"/>
                    </w:rPr>
                    <w:t>计算值</w:t>
                  </w:r>
                  <w:r>
                    <w:rPr>
                      <w:b/>
                      <w:szCs w:val="21"/>
                      <w:lang w:val="zh-CN"/>
                    </w:rPr>
                    <w:t>（</w:t>
                  </w:r>
                  <w:r>
                    <w:rPr>
                      <w:b/>
                      <w:szCs w:val="21"/>
                    </w:rPr>
                    <w:t>m</w:t>
                  </w:r>
                  <w:r>
                    <w:rPr>
                      <w:b/>
                      <w:szCs w:val="21"/>
                      <w:lang w:val="zh-CN"/>
                    </w:rPr>
                    <w:t>）</w:t>
                  </w:r>
                </w:p>
              </w:tc>
              <w:tc>
                <w:tcPr>
                  <w:tcW w:w="646" w:type="pct"/>
                  <w:vAlign w:val="center"/>
                </w:tcPr>
                <w:p w14:paraId="7BB67E6C">
                  <w:pPr>
                    <w:autoSpaceDE w:val="0"/>
                    <w:autoSpaceDN w:val="0"/>
                    <w:jc w:val="center"/>
                    <w:rPr>
                      <w:b/>
                      <w:szCs w:val="21"/>
                      <w:lang w:val="zh-CN"/>
                    </w:rPr>
                  </w:pPr>
                  <w:r>
                    <w:rPr>
                      <w:b/>
                      <w:bCs/>
                      <w:szCs w:val="21"/>
                    </w:rPr>
                    <w:t>卫生防护距离（m）</w:t>
                  </w:r>
                </w:p>
              </w:tc>
            </w:tr>
            <w:tr w14:paraId="71EAD8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0" w:type="pct"/>
                  <w:vAlign w:val="center"/>
                </w:tcPr>
                <w:p w14:paraId="20DF95C5">
                  <w:pPr>
                    <w:jc w:val="center"/>
                    <w:rPr>
                      <w:rFonts w:hint="eastAsia" w:eastAsia="宋体"/>
                      <w:szCs w:val="21"/>
                      <w:lang w:eastAsia="zh-CN"/>
                    </w:rPr>
                  </w:pPr>
                  <w:r>
                    <w:rPr>
                      <w:rFonts w:hint="eastAsia"/>
                      <w:szCs w:val="21"/>
                      <w:lang w:eastAsia="zh-CN"/>
                    </w:rPr>
                    <w:t>宁都县青塘镇污水处理厂工程</w:t>
                  </w:r>
                </w:p>
              </w:tc>
              <w:tc>
                <w:tcPr>
                  <w:tcW w:w="595" w:type="pct"/>
                  <w:vAlign w:val="center"/>
                </w:tcPr>
                <w:p w14:paraId="756C1F6A">
                  <w:pPr>
                    <w:jc w:val="center"/>
                    <w:rPr>
                      <w:szCs w:val="21"/>
                    </w:rPr>
                  </w:pPr>
                  <w:r>
                    <w:rPr>
                      <w:rFonts w:hint="eastAsia"/>
                      <w:szCs w:val="21"/>
                    </w:rPr>
                    <w:t>氨</w:t>
                  </w:r>
                </w:p>
              </w:tc>
              <w:tc>
                <w:tcPr>
                  <w:tcW w:w="589" w:type="pct"/>
                  <w:vAlign w:val="center"/>
                </w:tcPr>
                <w:p w14:paraId="192591A9">
                  <w:pPr>
                    <w:jc w:val="center"/>
                    <w:rPr>
                      <w:rFonts w:hint="default" w:eastAsia="宋体"/>
                      <w:szCs w:val="21"/>
                      <w:lang w:val="en-US" w:eastAsia="zh-CN"/>
                    </w:rPr>
                  </w:pPr>
                  <w:r>
                    <w:rPr>
                      <w:rFonts w:hint="eastAsia"/>
                      <w:szCs w:val="21"/>
                    </w:rPr>
                    <w:t>0.0</w:t>
                  </w:r>
                  <w:r>
                    <w:rPr>
                      <w:rFonts w:hint="eastAsia"/>
                      <w:szCs w:val="21"/>
                      <w:lang w:val="en-US" w:eastAsia="zh-CN"/>
                    </w:rPr>
                    <w:t>01</w:t>
                  </w:r>
                </w:p>
              </w:tc>
              <w:tc>
                <w:tcPr>
                  <w:tcW w:w="561" w:type="pct"/>
                  <w:vAlign w:val="center"/>
                </w:tcPr>
                <w:p w14:paraId="68FE2030">
                  <w:pPr>
                    <w:jc w:val="center"/>
                    <w:rPr>
                      <w:rFonts w:hint="default" w:eastAsia="宋体"/>
                      <w:szCs w:val="21"/>
                      <w:lang w:val="en-US" w:eastAsia="zh-CN"/>
                    </w:rPr>
                  </w:pPr>
                  <w:r>
                    <w:rPr>
                      <w:rFonts w:hint="eastAsia"/>
                      <w:szCs w:val="21"/>
                      <w:lang w:val="en-US" w:eastAsia="zh-CN"/>
                    </w:rPr>
                    <w:t>40</w:t>
                  </w:r>
                </w:p>
              </w:tc>
              <w:tc>
                <w:tcPr>
                  <w:tcW w:w="577" w:type="pct"/>
                  <w:vAlign w:val="center"/>
                </w:tcPr>
                <w:p w14:paraId="3C06F0B4">
                  <w:pPr>
                    <w:jc w:val="center"/>
                    <w:rPr>
                      <w:rFonts w:hint="default" w:eastAsia="宋体"/>
                      <w:szCs w:val="21"/>
                      <w:lang w:val="en-US" w:eastAsia="zh-CN"/>
                    </w:rPr>
                  </w:pPr>
                  <w:r>
                    <w:rPr>
                      <w:rFonts w:hint="eastAsia"/>
                      <w:szCs w:val="21"/>
                      <w:lang w:val="en-US" w:eastAsia="zh-CN"/>
                    </w:rPr>
                    <w:t>20</w:t>
                  </w:r>
                </w:p>
              </w:tc>
              <w:tc>
                <w:tcPr>
                  <w:tcW w:w="630" w:type="pct"/>
                  <w:vAlign w:val="center"/>
                </w:tcPr>
                <w:p w14:paraId="4DF97438">
                  <w:pPr>
                    <w:jc w:val="center"/>
                    <w:rPr>
                      <w:rFonts w:hint="default" w:eastAsia="宋体"/>
                      <w:szCs w:val="21"/>
                      <w:lang w:val="en-US" w:eastAsia="zh-CN"/>
                    </w:rPr>
                  </w:pPr>
                  <w:r>
                    <w:rPr>
                      <w:rFonts w:hint="eastAsia"/>
                      <w:szCs w:val="21"/>
                      <w:lang w:val="en-US" w:eastAsia="zh-CN"/>
                    </w:rPr>
                    <w:t>0.17</w:t>
                  </w:r>
                </w:p>
              </w:tc>
              <w:tc>
                <w:tcPr>
                  <w:tcW w:w="646" w:type="pct"/>
                  <w:vAlign w:val="center"/>
                </w:tcPr>
                <w:p w14:paraId="56F5C2C9">
                  <w:pPr>
                    <w:jc w:val="center"/>
                    <w:rPr>
                      <w:szCs w:val="21"/>
                    </w:rPr>
                  </w:pPr>
                  <w:r>
                    <w:rPr>
                      <w:rFonts w:hint="eastAsia"/>
                      <w:szCs w:val="21"/>
                    </w:rPr>
                    <w:t>50</w:t>
                  </w:r>
                </w:p>
              </w:tc>
            </w:tr>
          </w:tbl>
          <w:p w14:paraId="436F2E3F">
            <w:pPr>
              <w:spacing w:line="360" w:lineRule="auto"/>
              <w:jc w:val="center"/>
            </w:pPr>
          </w:p>
          <w:p w14:paraId="52BD1F67">
            <w:pPr>
              <w:spacing w:line="360" w:lineRule="auto"/>
              <w:jc w:val="center"/>
              <w:rPr>
                <w:sz w:val="24"/>
                <w:szCs w:val="22"/>
              </w:rPr>
            </w:pPr>
            <w:r>
              <w:drawing>
                <wp:inline distT="0" distB="0" distL="114300" distR="114300">
                  <wp:extent cx="5394960" cy="2229485"/>
                  <wp:effectExtent l="12700" t="12700" r="21590" b="2476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3"/>
                          <a:stretch>
                            <a:fillRect/>
                          </a:stretch>
                        </pic:blipFill>
                        <pic:spPr>
                          <a:xfrm>
                            <a:off x="0" y="0"/>
                            <a:ext cx="5394960" cy="2229485"/>
                          </a:xfrm>
                          <a:prstGeom prst="rect">
                            <a:avLst/>
                          </a:prstGeom>
                          <a:noFill/>
                          <a:ln w="12700">
                            <a:solidFill>
                              <a:schemeClr val="tx1"/>
                            </a:solidFill>
                          </a:ln>
                        </pic:spPr>
                      </pic:pic>
                    </a:graphicData>
                  </a:graphic>
                </wp:inline>
              </w:drawing>
            </w:r>
          </w:p>
          <w:p w14:paraId="4E792196">
            <w:pPr>
              <w:numPr>
                <w:ilvl w:val="4"/>
                <w:numId w:val="9"/>
              </w:numPr>
              <w:jc w:val="center"/>
              <w:rPr>
                <w:b/>
                <w:szCs w:val="21"/>
              </w:rPr>
            </w:pPr>
            <w:r>
              <w:rPr>
                <w:rFonts w:hint="eastAsia"/>
                <w:b/>
                <w:szCs w:val="21"/>
              </w:rPr>
              <w:t>项目卫生距离核算结果图</w:t>
            </w:r>
          </w:p>
          <w:p w14:paraId="0791F983">
            <w:pPr>
              <w:spacing w:line="360" w:lineRule="auto"/>
              <w:ind w:firstLine="480" w:firstLineChars="200"/>
              <w:jc w:val="left"/>
            </w:pPr>
            <w:r>
              <w:rPr>
                <w:rFonts w:hint="eastAsia"/>
                <w:sz w:val="24"/>
                <w:szCs w:val="22"/>
              </w:rPr>
              <w:t>根据以上计算，</w:t>
            </w:r>
            <w:r>
              <w:rPr>
                <w:sz w:val="24"/>
                <w:szCs w:val="22"/>
              </w:rPr>
              <w:t>本项目</w:t>
            </w:r>
            <w:r>
              <w:rPr>
                <w:rFonts w:hint="eastAsia"/>
                <w:sz w:val="24"/>
                <w:szCs w:val="22"/>
              </w:rPr>
              <w:t>需设置</w:t>
            </w:r>
            <w:r>
              <w:rPr>
                <w:sz w:val="24"/>
              </w:rPr>
              <w:t>50m</w:t>
            </w:r>
            <w:r>
              <w:rPr>
                <w:sz w:val="24"/>
                <w:szCs w:val="22"/>
              </w:rPr>
              <w:t>卫生防护距离</w:t>
            </w:r>
            <w:r>
              <w:rPr>
                <w:rFonts w:hint="eastAsia"/>
                <w:sz w:val="24"/>
              </w:rPr>
              <w:t>，</w:t>
            </w:r>
            <w:r>
              <w:rPr>
                <w:kern w:val="0"/>
                <w:sz w:val="24"/>
              </w:rPr>
              <w:t>即以项目边界外延</w:t>
            </w:r>
            <w:r>
              <w:rPr>
                <w:rFonts w:hint="eastAsia"/>
                <w:kern w:val="0"/>
                <w:sz w:val="24"/>
              </w:rPr>
              <w:t>5</w:t>
            </w:r>
            <w:r>
              <w:rPr>
                <w:kern w:val="0"/>
                <w:sz w:val="24"/>
              </w:rPr>
              <w:t>0m区域为卫生防护距离防护区域</w:t>
            </w:r>
            <w:r>
              <w:rPr>
                <w:rFonts w:hint="eastAsia"/>
                <w:sz w:val="24"/>
              </w:rPr>
              <w:t>。</w:t>
            </w:r>
          </w:p>
          <w:p w14:paraId="7E3F4830">
            <w:pPr>
              <w:spacing w:line="360" w:lineRule="auto"/>
              <w:ind w:firstLine="480" w:firstLineChars="200"/>
              <w:jc w:val="left"/>
            </w:pPr>
            <w:r>
              <w:rPr>
                <w:sz w:val="24"/>
                <w:szCs w:val="22"/>
              </w:rPr>
              <w:t>经</w:t>
            </w:r>
            <w:r>
              <w:rPr>
                <w:rFonts w:hint="eastAsia"/>
                <w:sz w:val="24"/>
                <w:szCs w:val="22"/>
              </w:rPr>
              <w:t>现场勘查</w:t>
            </w:r>
            <w:r>
              <w:rPr>
                <w:sz w:val="24"/>
                <w:szCs w:val="22"/>
              </w:rPr>
              <w:t>，本项目</w:t>
            </w:r>
            <w:r>
              <w:rPr>
                <w:rFonts w:hint="eastAsia"/>
                <w:sz w:val="24"/>
                <w:szCs w:val="22"/>
              </w:rPr>
              <w:t>各</w:t>
            </w:r>
            <w:r>
              <w:rPr>
                <w:sz w:val="24"/>
                <w:szCs w:val="22"/>
                <w:lang w:val="zh-CN"/>
              </w:rPr>
              <w:t>卫生防护距离</w:t>
            </w:r>
            <w:r>
              <w:rPr>
                <w:sz w:val="24"/>
                <w:szCs w:val="22"/>
              </w:rPr>
              <w:t>内不涉及环境敏感点及环境质量要求较高的</w:t>
            </w:r>
            <w:r>
              <w:rPr>
                <w:rFonts w:hint="eastAsia"/>
                <w:sz w:val="24"/>
                <w:szCs w:val="22"/>
              </w:rPr>
              <w:t>诸如机关、居民区、学校、医院、养老院等</w:t>
            </w:r>
            <w:r>
              <w:rPr>
                <w:rFonts w:hint="eastAsia"/>
                <w:sz w:val="24"/>
                <w:szCs w:val="22"/>
                <w:lang w:val="en-US" w:eastAsia="zh-CN"/>
              </w:rPr>
              <w:t>敏感目标</w:t>
            </w:r>
            <w:r>
              <w:rPr>
                <w:sz w:val="24"/>
                <w:szCs w:val="22"/>
              </w:rPr>
              <w:t>，符合卫生防护距离的要求</w:t>
            </w:r>
            <w:r>
              <w:rPr>
                <w:rFonts w:hint="eastAsia"/>
                <w:sz w:val="24"/>
                <w:szCs w:val="22"/>
              </w:rPr>
              <w:t>，选址合理</w:t>
            </w:r>
            <w:r>
              <w:rPr>
                <w:sz w:val="24"/>
                <w:szCs w:val="22"/>
              </w:rPr>
              <w:t>。在做好废气污染防治措施后，项目废气对周围环境及敏感点影响较小。</w:t>
            </w:r>
          </w:p>
          <w:p w14:paraId="73A0C470">
            <w:pPr>
              <w:spacing w:line="336" w:lineRule="auto"/>
              <w:ind w:firstLine="480" w:firstLineChars="200"/>
              <w:rPr>
                <w:sz w:val="24"/>
              </w:rPr>
            </w:pPr>
            <w:r>
              <w:rPr>
                <w:sz w:val="24"/>
                <w:szCs w:val="22"/>
                <w:lang w:val="zh-CN"/>
              </w:rPr>
              <w:t>根据卫生防护距离要求，在本项目卫生防护距离范围内，不得规划建设诸如机关、居民区、学校、医院、养老院等对环境空气要求较高的项目。同时项目应做好各项卫生防护措施，加强管理，将项目产生的大气污染物影响降至最低。</w:t>
            </w:r>
          </w:p>
          <w:p w14:paraId="12CEAC3D">
            <w:pPr>
              <w:spacing w:line="336" w:lineRule="auto"/>
              <w:ind w:firstLine="482" w:firstLineChars="200"/>
              <w:rPr>
                <w:b/>
                <w:bCs/>
                <w:sz w:val="24"/>
              </w:rPr>
            </w:pPr>
            <w:r>
              <w:rPr>
                <w:rFonts w:hint="eastAsia"/>
                <w:b/>
                <w:bCs/>
                <w:sz w:val="24"/>
                <w:lang w:val="en-US" w:eastAsia="zh-CN"/>
              </w:rPr>
              <w:t>8</w:t>
            </w:r>
            <w:r>
              <w:rPr>
                <w:rFonts w:hint="eastAsia"/>
                <w:b/>
                <w:bCs/>
                <w:sz w:val="24"/>
              </w:rPr>
              <w:t>.</w:t>
            </w:r>
            <w:r>
              <w:rPr>
                <w:b/>
                <w:bCs/>
                <w:sz w:val="24"/>
              </w:rPr>
              <w:t>废气环境影响分析</w:t>
            </w:r>
          </w:p>
          <w:p w14:paraId="4F5D6057">
            <w:pPr>
              <w:spacing w:line="336" w:lineRule="auto"/>
              <w:ind w:firstLine="480" w:firstLineChars="200"/>
              <w:rPr>
                <w:bCs/>
                <w:snapToGrid w:val="0"/>
                <w:kern w:val="0"/>
                <w:sz w:val="24"/>
              </w:rPr>
            </w:pPr>
            <w:r>
              <w:rPr>
                <w:sz w:val="24"/>
              </w:rPr>
              <w:t>根据前文分析可知，</w:t>
            </w:r>
            <w:r>
              <w:rPr>
                <w:rFonts w:hint="eastAsia"/>
                <w:sz w:val="24"/>
              </w:rPr>
              <w:t>项目</w:t>
            </w:r>
            <w:r>
              <w:rPr>
                <w:sz w:val="24"/>
              </w:rPr>
              <w:t>均使用“</w:t>
            </w:r>
            <w:r>
              <w:rPr>
                <w:rFonts w:hint="eastAsia"/>
                <w:sz w:val="24"/>
                <w:lang w:eastAsia="zh-CN"/>
              </w:rPr>
              <w:t>UV光氧光解催化</w:t>
            </w:r>
            <w:r>
              <w:rPr>
                <w:sz w:val="24"/>
              </w:rPr>
              <w:t>除臭装置”处理氨气、硫化氢等恶臭气体，处置后通过15m高排气筒有组织排放，</w:t>
            </w:r>
            <w:r>
              <w:rPr>
                <w:rFonts w:hint="eastAsia"/>
                <w:sz w:val="24"/>
              </w:rPr>
              <w:t>处置方式为</w:t>
            </w:r>
            <w:r>
              <w:rPr>
                <w:sz w:val="24"/>
              </w:rPr>
              <w:t>可行技术</w:t>
            </w:r>
            <w:r>
              <w:rPr>
                <w:rFonts w:hint="eastAsia"/>
                <w:sz w:val="24"/>
              </w:rPr>
              <w:t>。</w:t>
            </w:r>
            <w:r>
              <w:rPr>
                <w:sz w:val="24"/>
              </w:rPr>
              <w:t>本项目恶臭污染物厂界最高允许排放浓度</w:t>
            </w:r>
            <w:r>
              <w:rPr>
                <w:rFonts w:hint="eastAsia"/>
                <w:sz w:val="24"/>
              </w:rPr>
              <w:t>满足</w:t>
            </w:r>
            <w:r>
              <w:rPr>
                <w:sz w:val="24"/>
              </w:rPr>
              <w:t>《城镇污水处理厂污染物排放标准》(GB18918-2002)表4二级标准，有组织排放</w:t>
            </w:r>
            <w:r>
              <w:rPr>
                <w:rFonts w:hint="eastAsia"/>
                <w:sz w:val="24"/>
              </w:rPr>
              <w:t>满足</w:t>
            </w:r>
            <w:r>
              <w:rPr>
                <w:sz w:val="24"/>
              </w:rPr>
              <w:t>《恶臭污染物排放标准》(GB14554-93)表2标准要求</w:t>
            </w:r>
            <w:r>
              <w:rPr>
                <w:rFonts w:hint="eastAsia"/>
                <w:sz w:val="24"/>
              </w:rPr>
              <w:t>。</w:t>
            </w:r>
            <w:r>
              <w:rPr>
                <w:sz w:val="24"/>
              </w:rPr>
              <w:t>项目所用的废气治理措施有效</w:t>
            </w:r>
            <w:r>
              <w:rPr>
                <w:rFonts w:hint="eastAsia"/>
                <w:sz w:val="24"/>
              </w:rPr>
              <w:t>，</w:t>
            </w:r>
            <w:r>
              <w:rPr>
                <w:rFonts w:hint="eastAsia"/>
                <w:bCs/>
                <w:snapToGrid w:val="0"/>
                <w:kern w:val="0"/>
                <w:sz w:val="24"/>
              </w:rPr>
              <w:t>非密闭设备设施加强通风，厂界四周建设绿化隔离带。</w:t>
            </w:r>
          </w:p>
          <w:p w14:paraId="2C9BE46D">
            <w:pPr>
              <w:spacing w:line="336" w:lineRule="auto"/>
              <w:ind w:firstLine="480" w:firstLineChars="200"/>
              <w:rPr>
                <w:sz w:val="24"/>
              </w:rPr>
            </w:pPr>
            <w:r>
              <w:rPr>
                <w:sz w:val="24"/>
              </w:rPr>
              <w:t>综上所述，在企业妥善管理的前提下，本项目外排废气经过处理后</w:t>
            </w:r>
            <w:r>
              <w:rPr>
                <w:rFonts w:hint="eastAsia"/>
                <w:sz w:val="24"/>
              </w:rPr>
              <w:t>均</w:t>
            </w:r>
            <w:r>
              <w:rPr>
                <w:sz w:val="24"/>
              </w:rPr>
              <w:t>可达标排放，对周围环境及敏感点影响较小。</w:t>
            </w:r>
          </w:p>
          <w:p w14:paraId="3778068A">
            <w:pPr>
              <w:adjustRightInd w:val="0"/>
              <w:snapToGrid w:val="0"/>
              <w:spacing w:line="336" w:lineRule="auto"/>
              <w:ind w:firstLine="482" w:firstLineChars="200"/>
              <w:rPr>
                <w:b/>
                <w:color w:val="000000"/>
                <w:kern w:val="0"/>
                <w:sz w:val="24"/>
              </w:rPr>
            </w:pPr>
            <w:r>
              <w:rPr>
                <w:rFonts w:hint="eastAsia"/>
                <w:b/>
                <w:color w:val="000000"/>
                <w:kern w:val="0"/>
                <w:sz w:val="24"/>
                <w:lang w:val="en-US" w:eastAsia="zh-CN"/>
              </w:rPr>
              <w:t>9</w:t>
            </w:r>
            <w:r>
              <w:rPr>
                <w:rFonts w:hint="eastAsia"/>
                <w:b/>
                <w:color w:val="000000"/>
                <w:kern w:val="0"/>
                <w:sz w:val="24"/>
              </w:rPr>
              <w:t>.</w:t>
            </w:r>
            <w:r>
              <w:rPr>
                <w:b/>
                <w:color w:val="000000"/>
                <w:kern w:val="0"/>
                <w:sz w:val="24"/>
              </w:rPr>
              <w:t>废气监测</w:t>
            </w:r>
            <w:r>
              <w:rPr>
                <w:rFonts w:hint="eastAsia"/>
                <w:b/>
                <w:color w:val="000000"/>
                <w:kern w:val="0"/>
                <w:sz w:val="24"/>
              </w:rPr>
              <w:t>计划</w:t>
            </w:r>
          </w:p>
          <w:p w14:paraId="5A7DAE5F">
            <w:pPr>
              <w:spacing w:line="336" w:lineRule="auto"/>
              <w:ind w:firstLine="440" w:firstLineChars="200"/>
              <w:rPr>
                <w:sz w:val="24"/>
              </w:rPr>
            </w:pPr>
            <w:r>
              <w:rPr>
                <w:rFonts w:hint="eastAsia"/>
                <w:bCs/>
                <w:spacing w:val="-10"/>
                <w:sz w:val="24"/>
              </w:rPr>
              <w:t>根据</w:t>
            </w:r>
            <w:r>
              <w:rPr>
                <w:rFonts w:hint="eastAsia"/>
                <w:bCs/>
                <w:snapToGrid w:val="0"/>
                <w:kern w:val="0"/>
                <w:sz w:val="24"/>
              </w:rPr>
              <w:t>《排污许可证申请与核发技术规范 水处理(试行)》（HJ978-2018）</w:t>
            </w:r>
            <w:r>
              <w:rPr>
                <w:rFonts w:hint="eastAsia"/>
                <w:sz w:val="24"/>
              </w:rPr>
              <w:t>、《</w:t>
            </w:r>
            <w:r>
              <w:fldChar w:fldCharType="begin"/>
            </w:r>
            <w:r>
              <w:instrText xml:space="preserve"> HYPERLINK "https://www.eiacloud.com/hpyzs/lawsRegulations/searchDetail?modelName=%E6%8E%92%E6%B1%A1%E5%90%8D%E5%BD%95&amp;id=61c459b05d144dea89d584089fffd470" \t "https://www.eiacloud.com/hpyzs/category/_blank" </w:instrText>
            </w:r>
            <w:r>
              <w:fldChar w:fldCharType="separate"/>
            </w:r>
            <w:r>
              <w:rPr>
                <w:rFonts w:hint="eastAsia"/>
                <w:sz w:val="24"/>
              </w:rPr>
              <w:t>排污单位自行监测技术指南 水处理</w:t>
            </w:r>
            <w:r>
              <w:rPr>
                <w:rFonts w:hint="eastAsia"/>
                <w:sz w:val="24"/>
              </w:rPr>
              <w:fldChar w:fldCharType="end"/>
            </w:r>
            <w:r>
              <w:rPr>
                <w:rFonts w:hint="eastAsia"/>
                <w:sz w:val="24"/>
              </w:rPr>
              <w:t>》（HJ1083-2020）及《排污许可证申请与核发技术规范 环境卫生管理业》（HJ 1106—2020）</w:t>
            </w:r>
            <w:r>
              <w:rPr>
                <w:rFonts w:hint="eastAsia"/>
                <w:bCs/>
                <w:spacing w:val="-10"/>
                <w:sz w:val="24"/>
              </w:rPr>
              <w:t>中的相关规范</w:t>
            </w:r>
            <w:r>
              <w:rPr>
                <w:sz w:val="24"/>
              </w:rPr>
              <w:t>要求对项目废气污染源情况以及各类污染治理设施的运转情况进行定期检查，</w:t>
            </w:r>
            <w:r>
              <w:rPr>
                <w:rFonts w:hint="eastAsia"/>
                <w:sz w:val="24"/>
              </w:rPr>
              <w:t>制定以下监测计划，具体见下表</w:t>
            </w:r>
            <w:r>
              <w:rPr>
                <w:sz w:val="24"/>
              </w:rPr>
              <w:t>。</w:t>
            </w:r>
            <w:r>
              <w:rPr>
                <w:rFonts w:hint="eastAsia"/>
                <w:sz w:val="24"/>
              </w:rPr>
              <w:t xml:space="preserve"> </w:t>
            </w:r>
          </w:p>
          <w:p w14:paraId="50BC1F3B">
            <w:pPr>
              <w:numPr>
                <w:ilvl w:val="3"/>
                <w:numId w:val="9"/>
              </w:numPr>
              <w:jc w:val="center"/>
              <w:rPr>
                <w:b/>
                <w:szCs w:val="21"/>
              </w:rPr>
            </w:pPr>
            <w:r>
              <w:rPr>
                <w:b/>
                <w:szCs w:val="21"/>
              </w:rPr>
              <w:t>废气监测计划一览表</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1504"/>
              <w:gridCol w:w="831"/>
              <w:gridCol w:w="4788"/>
            </w:tblGrid>
            <w:tr w14:paraId="74F38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 w:type="pct"/>
                  <w:tcBorders>
                    <w:tl2br w:val="nil"/>
                    <w:tr2bl w:val="nil"/>
                  </w:tcBorders>
                  <w:vAlign w:val="center"/>
                </w:tcPr>
                <w:p w14:paraId="61E24956">
                  <w:pPr>
                    <w:jc w:val="center"/>
                    <w:rPr>
                      <w:b/>
                      <w:bCs/>
                      <w:szCs w:val="21"/>
                    </w:rPr>
                  </w:pPr>
                  <w:r>
                    <w:rPr>
                      <w:b/>
                      <w:bCs/>
                      <w:szCs w:val="21"/>
                    </w:rPr>
                    <w:t>监测点位</w:t>
                  </w:r>
                </w:p>
              </w:tc>
              <w:tc>
                <w:tcPr>
                  <w:tcW w:w="849" w:type="pct"/>
                  <w:tcBorders>
                    <w:tl2br w:val="nil"/>
                    <w:tr2bl w:val="nil"/>
                  </w:tcBorders>
                  <w:vAlign w:val="center"/>
                </w:tcPr>
                <w:p w14:paraId="5CEC9EE1">
                  <w:pPr>
                    <w:jc w:val="center"/>
                    <w:rPr>
                      <w:b/>
                      <w:bCs/>
                      <w:szCs w:val="21"/>
                    </w:rPr>
                  </w:pPr>
                  <w:r>
                    <w:rPr>
                      <w:b/>
                      <w:bCs/>
                      <w:szCs w:val="21"/>
                    </w:rPr>
                    <w:t>监测因子</w:t>
                  </w:r>
                </w:p>
              </w:tc>
              <w:tc>
                <w:tcPr>
                  <w:tcW w:w="469" w:type="pct"/>
                  <w:tcBorders>
                    <w:tl2br w:val="nil"/>
                    <w:tr2bl w:val="nil"/>
                  </w:tcBorders>
                  <w:vAlign w:val="center"/>
                </w:tcPr>
                <w:p w14:paraId="7F9855C2">
                  <w:pPr>
                    <w:jc w:val="center"/>
                    <w:rPr>
                      <w:b/>
                      <w:bCs/>
                      <w:szCs w:val="21"/>
                    </w:rPr>
                  </w:pPr>
                  <w:r>
                    <w:rPr>
                      <w:b/>
                      <w:bCs/>
                      <w:szCs w:val="21"/>
                    </w:rPr>
                    <w:t>监测频次</w:t>
                  </w:r>
                </w:p>
              </w:tc>
              <w:tc>
                <w:tcPr>
                  <w:tcW w:w="2702" w:type="pct"/>
                  <w:tcBorders>
                    <w:tl2br w:val="nil"/>
                    <w:tr2bl w:val="nil"/>
                  </w:tcBorders>
                  <w:vAlign w:val="center"/>
                </w:tcPr>
                <w:p w14:paraId="0F593210">
                  <w:pPr>
                    <w:jc w:val="center"/>
                    <w:rPr>
                      <w:b/>
                      <w:bCs/>
                      <w:szCs w:val="21"/>
                    </w:rPr>
                  </w:pPr>
                  <w:r>
                    <w:rPr>
                      <w:b/>
                      <w:bCs/>
                      <w:szCs w:val="21"/>
                    </w:rPr>
                    <w:t>执行标准</w:t>
                  </w:r>
                </w:p>
              </w:tc>
            </w:tr>
            <w:tr w14:paraId="48A40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 w:type="pct"/>
                  <w:tcBorders>
                    <w:tl2br w:val="nil"/>
                    <w:tr2bl w:val="nil"/>
                  </w:tcBorders>
                  <w:vAlign w:val="center"/>
                </w:tcPr>
                <w:p w14:paraId="668A34D5">
                  <w:pPr>
                    <w:jc w:val="center"/>
                    <w:rPr>
                      <w:rFonts w:hint="eastAsia"/>
                      <w:szCs w:val="21"/>
                    </w:rPr>
                  </w:pPr>
                  <w:r>
                    <w:rPr>
                      <w:rFonts w:hint="eastAsia"/>
                      <w:szCs w:val="21"/>
                    </w:rPr>
                    <w:t>DA001</w:t>
                  </w:r>
                </w:p>
                <w:p w14:paraId="04D491B5">
                  <w:pPr>
                    <w:jc w:val="center"/>
                    <w:rPr>
                      <w:szCs w:val="21"/>
                    </w:rPr>
                  </w:pPr>
                  <w:r>
                    <w:rPr>
                      <w:rFonts w:hint="eastAsia"/>
                      <w:szCs w:val="21"/>
                    </w:rPr>
                    <w:t>污水处理废气排放口</w:t>
                  </w:r>
                </w:p>
              </w:tc>
              <w:tc>
                <w:tcPr>
                  <w:tcW w:w="849" w:type="pct"/>
                  <w:tcBorders>
                    <w:tl2br w:val="nil"/>
                    <w:tr2bl w:val="nil"/>
                  </w:tcBorders>
                  <w:vAlign w:val="center"/>
                </w:tcPr>
                <w:p w14:paraId="74BF3021">
                  <w:pPr>
                    <w:jc w:val="center"/>
                    <w:rPr>
                      <w:szCs w:val="21"/>
                    </w:rPr>
                  </w:pPr>
                  <w:r>
                    <w:rPr>
                      <w:szCs w:val="21"/>
                    </w:rPr>
                    <w:t>NH</w:t>
                  </w:r>
                  <w:r>
                    <w:rPr>
                      <w:szCs w:val="21"/>
                      <w:vertAlign w:val="subscript"/>
                    </w:rPr>
                    <w:t>3</w:t>
                  </w:r>
                  <w:r>
                    <w:rPr>
                      <w:szCs w:val="21"/>
                    </w:rPr>
                    <w:t>、H</w:t>
                  </w:r>
                  <w:r>
                    <w:rPr>
                      <w:szCs w:val="21"/>
                      <w:vertAlign w:val="subscript"/>
                    </w:rPr>
                    <w:t>2</w:t>
                  </w:r>
                  <w:r>
                    <w:rPr>
                      <w:szCs w:val="21"/>
                    </w:rPr>
                    <w:t>S、臭气浓度</w:t>
                  </w:r>
                </w:p>
              </w:tc>
              <w:tc>
                <w:tcPr>
                  <w:tcW w:w="469" w:type="pct"/>
                  <w:tcBorders>
                    <w:tl2br w:val="nil"/>
                    <w:tr2bl w:val="nil"/>
                  </w:tcBorders>
                  <w:vAlign w:val="center"/>
                </w:tcPr>
                <w:p w14:paraId="36B41CF0">
                  <w:pPr>
                    <w:jc w:val="center"/>
                    <w:rPr>
                      <w:szCs w:val="21"/>
                    </w:rPr>
                  </w:pPr>
                  <w:r>
                    <w:rPr>
                      <w:szCs w:val="21"/>
                    </w:rPr>
                    <w:t>1次/半年</w:t>
                  </w:r>
                </w:p>
              </w:tc>
              <w:tc>
                <w:tcPr>
                  <w:tcW w:w="2702" w:type="pct"/>
                  <w:tcBorders>
                    <w:tl2br w:val="nil"/>
                    <w:tr2bl w:val="nil"/>
                  </w:tcBorders>
                  <w:vAlign w:val="center"/>
                </w:tcPr>
                <w:p w14:paraId="01E19F9F">
                  <w:pPr>
                    <w:jc w:val="center"/>
                    <w:rPr>
                      <w:szCs w:val="21"/>
                    </w:rPr>
                  </w:pPr>
                  <w:r>
                    <w:rPr>
                      <w:szCs w:val="21"/>
                    </w:rPr>
                    <w:t>《恶臭污染物排放标准》（GB14554-93）表2排放标准</w:t>
                  </w:r>
                </w:p>
              </w:tc>
            </w:tr>
            <w:tr w14:paraId="015CD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 w:type="pct"/>
                  <w:tcBorders>
                    <w:tl2br w:val="nil"/>
                    <w:tr2bl w:val="nil"/>
                  </w:tcBorders>
                  <w:vAlign w:val="center"/>
                </w:tcPr>
                <w:p w14:paraId="55D78994">
                  <w:pPr>
                    <w:jc w:val="center"/>
                    <w:rPr>
                      <w:szCs w:val="21"/>
                    </w:rPr>
                  </w:pPr>
                  <w:r>
                    <w:rPr>
                      <w:szCs w:val="21"/>
                    </w:rPr>
                    <w:t>四周厂界外1m</w:t>
                  </w:r>
                </w:p>
              </w:tc>
              <w:tc>
                <w:tcPr>
                  <w:tcW w:w="849" w:type="pct"/>
                  <w:tcBorders>
                    <w:tl2br w:val="nil"/>
                    <w:tr2bl w:val="nil"/>
                  </w:tcBorders>
                  <w:vAlign w:val="center"/>
                </w:tcPr>
                <w:p w14:paraId="1DEF0F07">
                  <w:pPr>
                    <w:jc w:val="center"/>
                    <w:rPr>
                      <w:szCs w:val="21"/>
                    </w:rPr>
                  </w:pPr>
                  <w:r>
                    <w:rPr>
                      <w:szCs w:val="21"/>
                    </w:rPr>
                    <w:t>NH</w:t>
                  </w:r>
                  <w:r>
                    <w:rPr>
                      <w:szCs w:val="21"/>
                      <w:vertAlign w:val="subscript"/>
                    </w:rPr>
                    <w:t>3</w:t>
                  </w:r>
                  <w:r>
                    <w:rPr>
                      <w:szCs w:val="21"/>
                    </w:rPr>
                    <w:t>、H</w:t>
                  </w:r>
                  <w:r>
                    <w:rPr>
                      <w:szCs w:val="21"/>
                      <w:vertAlign w:val="subscript"/>
                    </w:rPr>
                    <w:t>2</w:t>
                  </w:r>
                  <w:r>
                    <w:rPr>
                      <w:szCs w:val="21"/>
                    </w:rPr>
                    <w:t>S、臭气浓度</w:t>
                  </w:r>
                </w:p>
              </w:tc>
              <w:tc>
                <w:tcPr>
                  <w:tcW w:w="469" w:type="pct"/>
                  <w:tcBorders>
                    <w:tl2br w:val="nil"/>
                    <w:tr2bl w:val="nil"/>
                  </w:tcBorders>
                  <w:vAlign w:val="center"/>
                </w:tcPr>
                <w:p w14:paraId="525A2E68">
                  <w:pPr>
                    <w:jc w:val="center"/>
                    <w:rPr>
                      <w:szCs w:val="21"/>
                    </w:rPr>
                  </w:pPr>
                  <w:r>
                    <w:rPr>
                      <w:szCs w:val="21"/>
                    </w:rPr>
                    <w:t>1次/半年</w:t>
                  </w:r>
                </w:p>
              </w:tc>
              <w:tc>
                <w:tcPr>
                  <w:tcW w:w="2702" w:type="pct"/>
                  <w:vMerge w:val="restart"/>
                  <w:tcBorders>
                    <w:tl2br w:val="nil"/>
                    <w:tr2bl w:val="nil"/>
                  </w:tcBorders>
                  <w:vAlign w:val="center"/>
                </w:tcPr>
                <w:p w14:paraId="70C3B20C">
                  <w:pPr>
                    <w:jc w:val="center"/>
                    <w:rPr>
                      <w:szCs w:val="21"/>
                    </w:rPr>
                  </w:pPr>
                  <w:r>
                    <w:rPr>
                      <w:szCs w:val="21"/>
                    </w:rPr>
                    <w:t>《城镇污水处理厂污染物排放标准》（GB18918-2002）表4二级标准</w:t>
                  </w:r>
                </w:p>
              </w:tc>
            </w:tr>
            <w:tr w14:paraId="72949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 w:type="pct"/>
                  <w:tcBorders>
                    <w:tl2br w:val="nil"/>
                    <w:tr2bl w:val="nil"/>
                  </w:tcBorders>
                  <w:vAlign w:val="center"/>
                </w:tcPr>
                <w:p w14:paraId="726A4ED7">
                  <w:pPr>
                    <w:jc w:val="center"/>
                    <w:rPr>
                      <w:szCs w:val="21"/>
                    </w:rPr>
                  </w:pPr>
                  <w:r>
                    <w:rPr>
                      <w:szCs w:val="21"/>
                    </w:rPr>
                    <w:t>厂区甲烷体积浓度最高处</w:t>
                  </w:r>
                </w:p>
              </w:tc>
              <w:tc>
                <w:tcPr>
                  <w:tcW w:w="849" w:type="pct"/>
                  <w:tcBorders>
                    <w:tl2br w:val="nil"/>
                    <w:tr2bl w:val="nil"/>
                  </w:tcBorders>
                  <w:vAlign w:val="center"/>
                </w:tcPr>
                <w:p w14:paraId="00E24F14">
                  <w:pPr>
                    <w:jc w:val="center"/>
                    <w:rPr>
                      <w:szCs w:val="21"/>
                    </w:rPr>
                  </w:pPr>
                  <w:r>
                    <w:rPr>
                      <w:szCs w:val="21"/>
                    </w:rPr>
                    <w:t>甲烷</w:t>
                  </w:r>
                </w:p>
              </w:tc>
              <w:tc>
                <w:tcPr>
                  <w:tcW w:w="469" w:type="pct"/>
                  <w:tcBorders>
                    <w:tl2br w:val="nil"/>
                    <w:tr2bl w:val="nil"/>
                  </w:tcBorders>
                  <w:vAlign w:val="center"/>
                </w:tcPr>
                <w:p w14:paraId="11CC187E">
                  <w:pPr>
                    <w:jc w:val="center"/>
                    <w:rPr>
                      <w:szCs w:val="21"/>
                    </w:rPr>
                  </w:pPr>
                  <w:r>
                    <w:rPr>
                      <w:szCs w:val="21"/>
                    </w:rPr>
                    <w:t>1次/年</w:t>
                  </w:r>
                </w:p>
              </w:tc>
              <w:tc>
                <w:tcPr>
                  <w:tcW w:w="2702" w:type="pct"/>
                  <w:vMerge w:val="continue"/>
                  <w:tcBorders>
                    <w:tl2br w:val="nil"/>
                    <w:tr2bl w:val="nil"/>
                  </w:tcBorders>
                  <w:vAlign w:val="center"/>
                </w:tcPr>
                <w:p w14:paraId="690AAB58">
                  <w:pPr>
                    <w:jc w:val="center"/>
                    <w:rPr>
                      <w:szCs w:val="21"/>
                    </w:rPr>
                  </w:pPr>
                </w:p>
              </w:tc>
            </w:tr>
          </w:tbl>
          <w:p w14:paraId="61698CA1">
            <w:pPr>
              <w:spacing w:before="120" w:beforeLines="50" w:line="360" w:lineRule="auto"/>
              <w:ind w:firstLine="482" w:firstLineChars="200"/>
              <w:rPr>
                <w:b/>
                <w:bCs/>
                <w:color w:val="auto"/>
                <w:sz w:val="24"/>
              </w:rPr>
            </w:pPr>
            <w:r>
              <w:rPr>
                <w:rFonts w:hint="eastAsia"/>
                <w:b/>
                <w:bCs/>
                <w:color w:val="auto"/>
                <w:sz w:val="24"/>
              </w:rPr>
              <w:t>（二）</w:t>
            </w:r>
            <w:r>
              <w:rPr>
                <w:b/>
                <w:bCs/>
                <w:color w:val="auto"/>
                <w:sz w:val="24"/>
              </w:rPr>
              <w:t>废水</w:t>
            </w:r>
          </w:p>
          <w:p w14:paraId="2B295F35">
            <w:pPr>
              <w:pStyle w:val="36"/>
              <w:ind w:firstLine="480"/>
              <w:rPr>
                <w:color w:val="auto"/>
              </w:rPr>
            </w:pPr>
            <w:r>
              <w:rPr>
                <w:rFonts w:hint="eastAsia"/>
                <w:color w:val="auto"/>
              </w:rPr>
              <w:t>根据《建设项目环境影响报告表编制技术指南》（污染影响型），本工程新增废水直排的污水集中处理厂，需设置地表水专项评价。由预测结果可知，废水排入纳污水体后，经河流稀释降解后，污染物</w:t>
            </w:r>
            <w:r>
              <w:rPr>
                <w:rFonts w:hint="default"/>
              </w:rPr>
              <w:t>COD</w:t>
            </w:r>
            <w:r>
              <w:rPr>
                <w:rFonts w:hint="default"/>
                <w:vertAlign w:val="subscript"/>
              </w:rPr>
              <w:t>Cr</w:t>
            </w:r>
            <w:r>
              <w:rPr>
                <w:rFonts w:hint="eastAsia"/>
                <w:color w:val="auto"/>
              </w:rPr>
              <w:t>、NH</w:t>
            </w:r>
            <w:r>
              <w:rPr>
                <w:rFonts w:hint="eastAsia"/>
                <w:color w:val="auto"/>
                <w:vertAlign w:val="subscript"/>
              </w:rPr>
              <w:t>3</w:t>
            </w:r>
            <w:r>
              <w:rPr>
                <w:rFonts w:hint="eastAsia"/>
                <w:color w:val="auto"/>
              </w:rPr>
              <w:t>-N、</w:t>
            </w:r>
            <w:r>
              <w:rPr>
                <w:rFonts w:hint="eastAsia"/>
                <w:color w:val="auto"/>
                <w:lang w:val="en-US" w:eastAsia="zh-CN"/>
              </w:rPr>
              <w:t>TP</w:t>
            </w:r>
            <w:r>
              <w:rPr>
                <w:rFonts w:hint="eastAsia"/>
                <w:color w:val="auto"/>
              </w:rPr>
              <w:t>对受纳水体的有一定的影响，但随着河水流动，影响程度逐渐降低，影响较小；事故状态污染物</w:t>
            </w:r>
            <w:r>
              <w:rPr>
                <w:rFonts w:hint="default"/>
              </w:rPr>
              <w:t>COD</w:t>
            </w:r>
            <w:r>
              <w:rPr>
                <w:rFonts w:hint="default"/>
                <w:vertAlign w:val="subscript"/>
              </w:rPr>
              <w:t>Cr</w:t>
            </w:r>
            <w:r>
              <w:rPr>
                <w:rFonts w:hint="eastAsia"/>
                <w:color w:val="auto"/>
              </w:rPr>
              <w:t>、NH</w:t>
            </w:r>
            <w:r>
              <w:rPr>
                <w:rFonts w:hint="eastAsia"/>
                <w:color w:val="auto"/>
                <w:vertAlign w:val="subscript"/>
              </w:rPr>
              <w:t>3</w:t>
            </w:r>
            <w:r>
              <w:rPr>
                <w:rFonts w:hint="eastAsia"/>
                <w:color w:val="auto"/>
              </w:rPr>
              <w:t>-N、</w:t>
            </w:r>
            <w:r>
              <w:rPr>
                <w:rFonts w:hint="eastAsia"/>
                <w:color w:val="auto"/>
                <w:lang w:val="en-US" w:eastAsia="zh-CN"/>
              </w:rPr>
              <w:t>TP</w:t>
            </w:r>
            <w:r>
              <w:rPr>
                <w:rFonts w:hint="eastAsia"/>
                <w:color w:val="auto"/>
              </w:rPr>
              <w:t>对受纳水体影响较大，具体见专题评价。因此，企业必须做好安全生产工作，杜绝事故发生。</w:t>
            </w:r>
          </w:p>
          <w:p w14:paraId="085B8A9D">
            <w:pPr>
              <w:pStyle w:val="36"/>
              <w:ind w:firstLine="480"/>
              <w:rPr>
                <w:rFonts w:hint="default"/>
              </w:rPr>
            </w:pPr>
            <w:r>
              <w:t>总体来说，本项目的建设完善了区域污水处理系统，补齐了生活污水收集处理设施短板，实现</w:t>
            </w:r>
            <w:r>
              <w:rPr>
                <w:rFonts w:hint="eastAsia"/>
                <w:lang w:val="en-US" w:eastAsia="zh-CN"/>
              </w:rPr>
              <w:t>区域</w:t>
            </w:r>
            <w:r>
              <w:t>污水处理设施提质增效，大大减少了污染物的外排，满足了区域水环境质量改善目标要求。</w:t>
            </w:r>
          </w:p>
          <w:p w14:paraId="75066350">
            <w:pPr>
              <w:spacing w:line="360" w:lineRule="auto"/>
              <w:ind w:firstLine="482" w:firstLineChars="200"/>
              <w:rPr>
                <w:b/>
                <w:bCs/>
                <w:sz w:val="24"/>
              </w:rPr>
            </w:pPr>
            <w:r>
              <w:rPr>
                <w:rFonts w:hint="eastAsia"/>
                <w:b/>
                <w:bCs/>
                <w:sz w:val="24"/>
              </w:rPr>
              <w:t>（三）</w:t>
            </w:r>
            <w:r>
              <w:rPr>
                <w:b/>
                <w:bCs/>
                <w:sz w:val="24"/>
              </w:rPr>
              <w:t>噪声</w:t>
            </w:r>
          </w:p>
          <w:p w14:paraId="19FBB429">
            <w:pPr>
              <w:pStyle w:val="36"/>
              <w:ind w:firstLine="482"/>
              <w:rPr>
                <w:rFonts w:hint="default"/>
                <w:b/>
                <w:bCs/>
              </w:rPr>
            </w:pPr>
            <w:r>
              <w:rPr>
                <w:b/>
                <w:bCs/>
              </w:rPr>
              <w:t>1、噪声污染源情况</w:t>
            </w:r>
          </w:p>
          <w:p w14:paraId="24894D35">
            <w:pPr>
              <w:pStyle w:val="36"/>
              <w:ind w:firstLine="480"/>
              <w:rPr>
                <w:rFonts w:hint="default"/>
                <w:b/>
                <w:szCs w:val="21"/>
              </w:rPr>
            </w:pPr>
            <w:r>
              <w:t>本项目噪声源主要为室内噪声源（</w:t>
            </w:r>
            <w:r>
              <w:rPr>
                <w:rFonts w:hint="eastAsia"/>
                <w:lang w:val="en-US" w:eastAsia="zh-CN"/>
              </w:rPr>
              <w:t>设施为地下或室内</w:t>
            </w:r>
            <w:r>
              <w:t>），主要包括风机、潜水搅拌机及各类泵等设备。噪声源强在70~90dB（A）之间。噪声源信息见下表。</w:t>
            </w:r>
          </w:p>
          <w:p w14:paraId="29ABFA3B">
            <w:pPr>
              <w:rPr>
                <w:b/>
                <w:szCs w:val="21"/>
              </w:rPr>
            </w:pPr>
          </w:p>
          <w:p w14:paraId="38268B1F">
            <w:pPr>
              <w:pStyle w:val="60"/>
            </w:pPr>
          </w:p>
          <w:p w14:paraId="2C1F574B">
            <w:pPr>
              <w:pStyle w:val="27"/>
            </w:pPr>
          </w:p>
          <w:p w14:paraId="32902AC0"/>
          <w:p w14:paraId="3059AA2F"/>
          <w:p w14:paraId="0CB763E3"/>
          <w:p w14:paraId="276D2535"/>
          <w:p w14:paraId="3F5E1699"/>
          <w:p w14:paraId="52D1E2FF"/>
          <w:p w14:paraId="56D76E1C"/>
          <w:p w14:paraId="4864A9E1"/>
          <w:p w14:paraId="688CADFB"/>
          <w:p w14:paraId="288074E4"/>
          <w:p w14:paraId="2425A031"/>
          <w:p w14:paraId="7519F1EB"/>
          <w:p w14:paraId="4BB143D2"/>
          <w:p w14:paraId="218ECC36"/>
          <w:p w14:paraId="6C0C11D0"/>
          <w:p w14:paraId="5D9044A6"/>
          <w:p w14:paraId="217BCE28"/>
          <w:p w14:paraId="38890968"/>
          <w:p w14:paraId="12DFDD11"/>
          <w:p w14:paraId="0D7B426A"/>
          <w:p w14:paraId="2278264E"/>
          <w:p w14:paraId="51DFC9CB"/>
          <w:p w14:paraId="361B7FDF"/>
          <w:p w14:paraId="764EAB87"/>
          <w:p w14:paraId="36893013"/>
          <w:p w14:paraId="2B652DED"/>
          <w:p w14:paraId="62407B8D"/>
          <w:p w14:paraId="3648BAC2"/>
          <w:p w14:paraId="0D9332D9"/>
          <w:p w14:paraId="30F00133"/>
          <w:p w14:paraId="3FB6536C"/>
          <w:p w14:paraId="2CE98F46"/>
          <w:p w14:paraId="1F0B2446"/>
          <w:p w14:paraId="6C62C738"/>
          <w:p w14:paraId="567E3D9D"/>
          <w:p w14:paraId="128510FC"/>
          <w:p w14:paraId="1B1EE241"/>
          <w:p w14:paraId="1DD5EC0E"/>
          <w:p w14:paraId="3AC83587"/>
          <w:p w14:paraId="1D239AC7"/>
          <w:p w14:paraId="26A01311"/>
          <w:p w14:paraId="18C201E4"/>
          <w:p w14:paraId="21470D70"/>
        </w:tc>
      </w:tr>
    </w:tbl>
    <w:p w14:paraId="57EEBC85">
      <w:pPr>
        <w:sectPr>
          <w:pgSz w:w="11906" w:h="16838"/>
          <w:pgMar w:top="1134" w:right="1134" w:bottom="1134" w:left="1417" w:header="851" w:footer="850" w:gutter="0"/>
          <w:pgBorders>
            <w:top w:val="none" w:sz="0" w:space="0"/>
            <w:left w:val="none" w:sz="0" w:space="0"/>
            <w:bottom w:val="none" w:sz="0" w:space="0"/>
            <w:right w:val="none" w:sz="0" w:space="0"/>
          </w:pgBorders>
          <w:pgNumType w:fmt="numberInDash"/>
          <w:cols w:space="720" w:num="1"/>
          <w:docGrid w:linePitch="312" w:charSpace="0"/>
        </w:sectPr>
      </w:pP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4014"/>
      </w:tblGrid>
      <w:tr w14:paraId="113063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23"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5CBEFC2B">
            <w:pPr>
              <w:pStyle w:val="52"/>
              <w:spacing w:before="120" w:beforeLines="50"/>
            </w:pPr>
            <w:bookmarkStart w:id="38" w:name="_Ref6212"/>
            <w:r>
              <w:rPr>
                <w:rFonts w:hint="eastAsia"/>
                <w:lang w:val="zh-TW" w:eastAsia="zh-CN"/>
              </w:rPr>
              <w:t>宁都县青塘镇污水处理厂工程</w:t>
            </w:r>
            <w:r>
              <w:rPr>
                <w:lang w:val="zh-TW" w:eastAsia="zh-TW"/>
              </w:rPr>
              <w:t>噪声源强调查清单（室内声源）</w:t>
            </w:r>
          </w:p>
          <w:tbl>
            <w:tblPr>
              <w:tblStyle w:val="28"/>
              <w:tblW w:w="492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16"/>
              <w:gridCol w:w="1184"/>
              <w:gridCol w:w="1625"/>
              <w:gridCol w:w="1338"/>
              <w:gridCol w:w="1338"/>
              <w:gridCol w:w="778"/>
              <w:gridCol w:w="778"/>
              <w:gridCol w:w="778"/>
              <w:gridCol w:w="778"/>
              <w:gridCol w:w="778"/>
              <w:gridCol w:w="778"/>
              <w:gridCol w:w="778"/>
              <w:gridCol w:w="778"/>
              <w:gridCol w:w="778"/>
              <w:gridCol w:w="783"/>
            </w:tblGrid>
            <w:tr w14:paraId="296F80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62" w:hRule="atLeast"/>
                <w:jc w:val="center"/>
              </w:trPr>
              <w:tc>
                <w:tcPr>
                  <w:tcW w:w="187" w:type="pct"/>
                  <w:vMerge w:val="restart"/>
                  <w:tcBorders>
                    <w:tl2br w:val="nil"/>
                    <w:tr2bl w:val="nil"/>
                  </w:tcBorders>
                  <w:shd w:val="clear" w:color="auto" w:fill="auto"/>
                  <w:vAlign w:val="center"/>
                </w:tcPr>
                <w:p w14:paraId="1C6E5963">
                  <w:pPr>
                    <w:jc w:val="center"/>
                    <w:rPr>
                      <w:b/>
                      <w:bCs/>
                      <w:szCs w:val="21"/>
                    </w:rPr>
                  </w:pPr>
                  <w:r>
                    <w:rPr>
                      <w:b/>
                      <w:bCs/>
                      <w:szCs w:val="21"/>
                    </w:rPr>
                    <w:t>序号</w:t>
                  </w:r>
                </w:p>
              </w:tc>
              <w:tc>
                <w:tcPr>
                  <w:tcW w:w="429" w:type="pct"/>
                  <w:vMerge w:val="restart"/>
                  <w:tcBorders>
                    <w:tl2br w:val="nil"/>
                    <w:tr2bl w:val="nil"/>
                  </w:tcBorders>
                  <w:shd w:val="clear" w:color="auto" w:fill="auto"/>
                  <w:vAlign w:val="center"/>
                </w:tcPr>
                <w:p w14:paraId="6ABBCB24">
                  <w:pPr>
                    <w:jc w:val="center"/>
                    <w:rPr>
                      <w:b/>
                      <w:bCs/>
                      <w:szCs w:val="21"/>
                    </w:rPr>
                  </w:pPr>
                  <w:r>
                    <w:rPr>
                      <w:b/>
                      <w:bCs/>
                      <w:szCs w:val="21"/>
                    </w:rPr>
                    <w:t>建筑物名称</w:t>
                  </w:r>
                </w:p>
              </w:tc>
              <w:tc>
                <w:tcPr>
                  <w:tcW w:w="589" w:type="pct"/>
                  <w:vMerge w:val="restart"/>
                  <w:tcBorders>
                    <w:tl2br w:val="nil"/>
                    <w:tr2bl w:val="nil"/>
                  </w:tcBorders>
                  <w:shd w:val="clear" w:color="auto" w:fill="auto"/>
                  <w:vAlign w:val="center"/>
                </w:tcPr>
                <w:p w14:paraId="0411974A">
                  <w:pPr>
                    <w:jc w:val="center"/>
                    <w:rPr>
                      <w:b/>
                      <w:bCs/>
                      <w:szCs w:val="21"/>
                    </w:rPr>
                  </w:pPr>
                  <w:r>
                    <w:rPr>
                      <w:b/>
                      <w:bCs/>
                      <w:szCs w:val="21"/>
                    </w:rPr>
                    <w:t>声源名称</w:t>
                  </w:r>
                </w:p>
              </w:tc>
              <w:tc>
                <w:tcPr>
                  <w:tcW w:w="485" w:type="pct"/>
                  <w:vMerge w:val="restart"/>
                  <w:tcBorders>
                    <w:tl2br w:val="nil"/>
                    <w:tr2bl w:val="nil"/>
                  </w:tcBorders>
                  <w:shd w:val="clear" w:color="auto" w:fill="auto"/>
                  <w:vAlign w:val="center"/>
                </w:tcPr>
                <w:p w14:paraId="5749983C">
                  <w:pPr>
                    <w:jc w:val="center"/>
                    <w:rPr>
                      <w:b/>
                      <w:bCs/>
                      <w:szCs w:val="21"/>
                    </w:rPr>
                  </w:pPr>
                  <w:r>
                    <w:rPr>
                      <w:rFonts w:hint="eastAsia"/>
                      <w:b/>
                      <w:bCs/>
                      <w:szCs w:val="21"/>
                    </w:rPr>
                    <w:t>设备数量</w:t>
                  </w:r>
                </w:p>
              </w:tc>
              <w:tc>
                <w:tcPr>
                  <w:tcW w:w="485" w:type="pct"/>
                  <w:tcBorders>
                    <w:tl2br w:val="nil"/>
                    <w:tr2bl w:val="nil"/>
                  </w:tcBorders>
                  <w:shd w:val="clear" w:color="auto" w:fill="auto"/>
                  <w:vAlign w:val="center"/>
                </w:tcPr>
                <w:p w14:paraId="290EF09E">
                  <w:pPr>
                    <w:jc w:val="center"/>
                    <w:rPr>
                      <w:b/>
                      <w:bCs/>
                      <w:szCs w:val="21"/>
                    </w:rPr>
                  </w:pPr>
                  <w:r>
                    <w:rPr>
                      <w:b/>
                      <w:bCs/>
                      <w:szCs w:val="21"/>
                    </w:rPr>
                    <w:t>声源源强</w:t>
                  </w:r>
                </w:p>
              </w:tc>
              <w:tc>
                <w:tcPr>
                  <w:tcW w:w="282" w:type="pct"/>
                  <w:vMerge w:val="restart"/>
                  <w:tcBorders>
                    <w:tl2br w:val="nil"/>
                    <w:tr2bl w:val="nil"/>
                  </w:tcBorders>
                  <w:shd w:val="clear" w:color="auto" w:fill="auto"/>
                  <w:vAlign w:val="center"/>
                </w:tcPr>
                <w:p w14:paraId="791BCE26">
                  <w:pPr>
                    <w:jc w:val="center"/>
                    <w:rPr>
                      <w:rFonts w:ascii="Times New Roman" w:hAnsi="Times New Roman" w:eastAsia="宋体" w:cs="Times New Roman"/>
                      <w:kern w:val="2"/>
                      <w:sz w:val="21"/>
                      <w:szCs w:val="21"/>
                      <w:lang w:val="en-US" w:eastAsia="zh-CN" w:bidi="ar-SA"/>
                    </w:rPr>
                  </w:pPr>
                  <w:r>
                    <w:rPr>
                      <w:b/>
                      <w:bCs/>
                      <w:szCs w:val="21"/>
                    </w:rPr>
                    <w:t>声源控制措施</w:t>
                  </w:r>
                </w:p>
                <w:p w14:paraId="35CDF459">
                  <w:pPr>
                    <w:jc w:val="center"/>
                    <w:rPr>
                      <w:b/>
                      <w:bCs/>
                      <w:szCs w:val="21"/>
                    </w:rPr>
                  </w:pPr>
                </w:p>
              </w:tc>
              <w:tc>
                <w:tcPr>
                  <w:tcW w:w="846" w:type="pct"/>
                  <w:gridSpan w:val="3"/>
                  <w:tcBorders>
                    <w:tl2br w:val="nil"/>
                    <w:tr2bl w:val="nil"/>
                  </w:tcBorders>
                  <w:shd w:val="clear" w:color="auto" w:fill="auto"/>
                  <w:vAlign w:val="center"/>
                </w:tcPr>
                <w:p w14:paraId="5A2D09BA">
                  <w:pPr>
                    <w:jc w:val="center"/>
                    <w:rPr>
                      <w:b/>
                      <w:bCs/>
                      <w:szCs w:val="21"/>
                    </w:rPr>
                  </w:pPr>
                  <w:r>
                    <w:rPr>
                      <w:b/>
                      <w:bCs/>
                      <w:szCs w:val="21"/>
                    </w:rPr>
                    <w:t>空间相对位置/m</w:t>
                  </w:r>
                </w:p>
              </w:tc>
              <w:tc>
                <w:tcPr>
                  <w:tcW w:w="282" w:type="pct"/>
                  <w:vMerge w:val="restart"/>
                  <w:tcBorders>
                    <w:tl2br w:val="nil"/>
                    <w:tr2bl w:val="nil"/>
                  </w:tcBorders>
                  <w:shd w:val="clear" w:color="auto" w:fill="auto"/>
                  <w:vAlign w:val="center"/>
                </w:tcPr>
                <w:p w14:paraId="2CD0173B">
                  <w:pPr>
                    <w:jc w:val="center"/>
                    <w:rPr>
                      <w:b/>
                      <w:bCs/>
                      <w:szCs w:val="21"/>
                    </w:rPr>
                  </w:pPr>
                  <w:r>
                    <w:rPr>
                      <w:b/>
                      <w:bCs/>
                      <w:szCs w:val="21"/>
                    </w:rPr>
                    <w:t>距室内边界距离/m</w:t>
                  </w:r>
                </w:p>
              </w:tc>
              <w:tc>
                <w:tcPr>
                  <w:tcW w:w="282" w:type="pct"/>
                  <w:vMerge w:val="restart"/>
                  <w:tcBorders>
                    <w:tl2br w:val="nil"/>
                    <w:tr2bl w:val="nil"/>
                  </w:tcBorders>
                  <w:shd w:val="clear" w:color="auto" w:fill="auto"/>
                  <w:vAlign w:val="center"/>
                </w:tcPr>
                <w:p w14:paraId="0159883D">
                  <w:pPr>
                    <w:jc w:val="center"/>
                    <w:rPr>
                      <w:b/>
                      <w:bCs/>
                      <w:szCs w:val="21"/>
                    </w:rPr>
                  </w:pPr>
                  <w:r>
                    <w:rPr>
                      <w:b/>
                      <w:bCs/>
                      <w:szCs w:val="21"/>
                    </w:rPr>
                    <w:t>室内边界声级/dB(A)</w:t>
                  </w:r>
                </w:p>
              </w:tc>
              <w:tc>
                <w:tcPr>
                  <w:tcW w:w="282" w:type="pct"/>
                  <w:vMerge w:val="restart"/>
                  <w:tcBorders>
                    <w:tl2br w:val="nil"/>
                    <w:tr2bl w:val="nil"/>
                  </w:tcBorders>
                  <w:shd w:val="clear" w:color="auto" w:fill="auto"/>
                  <w:vAlign w:val="center"/>
                </w:tcPr>
                <w:p w14:paraId="30202895">
                  <w:pPr>
                    <w:jc w:val="center"/>
                    <w:rPr>
                      <w:b/>
                      <w:bCs/>
                      <w:szCs w:val="21"/>
                    </w:rPr>
                  </w:pPr>
                  <w:r>
                    <w:rPr>
                      <w:b/>
                      <w:bCs/>
                      <w:szCs w:val="21"/>
                    </w:rPr>
                    <w:t>运行</w:t>
                  </w:r>
                </w:p>
                <w:p w14:paraId="1DA3AE99">
                  <w:pPr>
                    <w:jc w:val="center"/>
                    <w:rPr>
                      <w:rFonts w:ascii="Times New Roman" w:hAnsi="Times New Roman" w:eastAsia="宋体" w:cs="Times New Roman"/>
                      <w:kern w:val="2"/>
                      <w:sz w:val="21"/>
                      <w:szCs w:val="21"/>
                      <w:lang w:val="en-US" w:eastAsia="zh-CN" w:bidi="ar-SA"/>
                    </w:rPr>
                  </w:pPr>
                  <w:r>
                    <w:rPr>
                      <w:b/>
                      <w:bCs/>
                      <w:szCs w:val="21"/>
                    </w:rPr>
                    <w:t>时段</w:t>
                  </w:r>
                </w:p>
                <w:p w14:paraId="4F9C5CF9">
                  <w:pPr>
                    <w:jc w:val="center"/>
                    <w:rPr>
                      <w:b/>
                      <w:bCs/>
                      <w:szCs w:val="21"/>
                    </w:rPr>
                  </w:pPr>
                </w:p>
              </w:tc>
              <w:tc>
                <w:tcPr>
                  <w:tcW w:w="282" w:type="pct"/>
                  <w:vMerge w:val="restart"/>
                  <w:tcBorders>
                    <w:tl2br w:val="nil"/>
                    <w:tr2bl w:val="nil"/>
                  </w:tcBorders>
                  <w:shd w:val="clear" w:color="auto" w:fill="auto"/>
                  <w:vAlign w:val="center"/>
                </w:tcPr>
                <w:p w14:paraId="27CF626B">
                  <w:pPr>
                    <w:jc w:val="center"/>
                    <w:rPr>
                      <w:b/>
                      <w:bCs/>
                      <w:szCs w:val="21"/>
                    </w:rPr>
                  </w:pPr>
                  <w:r>
                    <w:rPr>
                      <w:b/>
                      <w:bCs/>
                      <w:szCs w:val="21"/>
                    </w:rPr>
                    <w:t>建筑物插入损失/dB(A)</w:t>
                  </w:r>
                </w:p>
              </w:tc>
              <w:tc>
                <w:tcPr>
                  <w:tcW w:w="566" w:type="pct"/>
                  <w:gridSpan w:val="2"/>
                  <w:tcBorders>
                    <w:tl2br w:val="nil"/>
                    <w:tr2bl w:val="nil"/>
                  </w:tcBorders>
                  <w:shd w:val="clear" w:color="auto" w:fill="auto"/>
                  <w:vAlign w:val="center"/>
                </w:tcPr>
                <w:p w14:paraId="0D7F920C">
                  <w:pPr>
                    <w:jc w:val="center"/>
                    <w:rPr>
                      <w:b/>
                      <w:bCs/>
                      <w:szCs w:val="21"/>
                    </w:rPr>
                  </w:pPr>
                  <w:r>
                    <w:rPr>
                      <w:b/>
                      <w:bCs/>
                      <w:szCs w:val="21"/>
                    </w:rPr>
                    <w:t>建筑物外噪声</w:t>
                  </w:r>
                </w:p>
              </w:tc>
            </w:tr>
            <w:tr w14:paraId="419C0F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98" w:hRule="atLeast"/>
                <w:jc w:val="center"/>
              </w:trPr>
              <w:tc>
                <w:tcPr>
                  <w:tcW w:w="187" w:type="pct"/>
                  <w:vMerge w:val="continue"/>
                  <w:tcBorders>
                    <w:tl2br w:val="nil"/>
                    <w:tr2bl w:val="nil"/>
                  </w:tcBorders>
                  <w:shd w:val="clear" w:color="auto" w:fill="auto"/>
                  <w:vAlign w:val="center"/>
                </w:tcPr>
                <w:p w14:paraId="4ACFAE70">
                  <w:pPr>
                    <w:jc w:val="center"/>
                    <w:rPr>
                      <w:b/>
                      <w:bCs/>
                      <w:szCs w:val="21"/>
                    </w:rPr>
                  </w:pPr>
                </w:p>
              </w:tc>
              <w:tc>
                <w:tcPr>
                  <w:tcW w:w="429" w:type="pct"/>
                  <w:vMerge w:val="continue"/>
                  <w:tcBorders>
                    <w:tl2br w:val="nil"/>
                    <w:tr2bl w:val="nil"/>
                  </w:tcBorders>
                  <w:shd w:val="clear" w:color="auto" w:fill="auto"/>
                  <w:vAlign w:val="center"/>
                </w:tcPr>
                <w:p w14:paraId="1C1F8763">
                  <w:pPr>
                    <w:jc w:val="center"/>
                    <w:rPr>
                      <w:b/>
                      <w:bCs/>
                      <w:szCs w:val="21"/>
                    </w:rPr>
                  </w:pPr>
                </w:p>
              </w:tc>
              <w:tc>
                <w:tcPr>
                  <w:tcW w:w="589" w:type="pct"/>
                  <w:vMerge w:val="continue"/>
                  <w:tcBorders>
                    <w:tl2br w:val="nil"/>
                    <w:tr2bl w:val="nil"/>
                  </w:tcBorders>
                  <w:shd w:val="clear" w:color="auto" w:fill="auto"/>
                  <w:vAlign w:val="center"/>
                </w:tcPr>
                <w:p w14:paraId="3DFDB0F4">
                  <w:pPr>
                    <w:jc w:val="center"/>
                    <w:rPr>
                      <w:b/>
                      <w:bCs/>
                      <w:szCs w:val="21"/>
                    </w:rPr>
                  </w:pPr>
                </w:p>
              </w:tc>
              <w:tc>
                <w:tcPr>
                  <w:tcW w:w="485" w:type="pct"/>
                  <w:vMerge w:val="continue"/>
                  <w:tcBorders>
                    <w:tl2br w:val="nil"/>
                    <w:tr2bl w:val="nil"/>
                  </w:tcBorders>
                  <w:shd w:val="clear" w:color="auto" w:fill="auto"/>
                  <w:vAlign w:val="center"/>
                </w:tcPr>
                <w:p w14:paraId="39778A02">
                  <w:pPr>
                    <w:jc w:val="center"/>
                    <w:rPr>
                      <w:b/>
                      <w:bCs/>
                      <w:szCs w:val="21"/>
                    </w:rPr>
                  </w:pPr>
                </w:p>
              </w:tc>
              <w:tc>
                <w:tcPr>
                  <w:tcW w:w="485" w:type="pct"/>
                  <w:tcBorders>
                    <w:tl2br w:val="nil"/>
                    <w:tr2bl w:val="nil"/>
                  </w:tcBorders>
                  <w:shd w:val="clear" w:color="auto" w:fill="auto"/>
                  <w:vAlign w:val="center"/>
                </w:tcPr>
                <w:p w14:paraId="7FC03B3C">
                  <w:pPr>
                    <w:jc w:val="center"/>
                    <w:rPr>
                      <w:b/>
                      <w:bCs/>
                      <w:szCs w:val="21"/>
                    </w:rPr>
                  </w:pPr>
                  <w:r>
                    <w:rPr>
                      <w:b/>
                      <w:bCs/>
                      <w:szCs w:val="21"/>
                    </w:rPr>
                    <w:t>声功率级/dB(A)</w:t>
                  </w:r>
                </w:p>
              </w:tc>
              <w:tc>
                <w:tcPr>
                  <w:tcW w:w="282" w:type="pct"/>
                  <w:vMerge w:val="continue"/>
                  <w:tcBorders>
                    <w:tl2br w:val="nil"/>
                    <w:tr2bl w:val="nil"/>
                  </w:tcBorders>
                  <w:shd w:val="clear" w:color="auto" w:fill="auto"/>
                  <w:vAlign w:val="center"/>
                </w:tcPr>
                <w:p w14:paraId="209CD911">
                  <w:pPr>
                    <w:jc w:val="center"/>
                    <w:rPr>
                      <w:b/>
                      <w:bCs/>
                      <w:szCs w:val="21"/>
                    </w:rPr>
                  </w:pPr>
                </w:p>
              </w:tc>
              <w:tc>
                <w:tcPr>
                  <w:tcW w:w="282" w:type="pct"/>
                  <w:tcBorders>
                    <w:tl2br w:val="nil"/>
                    <w:tr2bl w:val="nil"/>
                  </w:tcBorders>
                  <w:shd w:val="clear" w:color="auto" w:fill="auto"/>
                  <w:vAlign w:val="center"/>
                </w:tcPr>
                <w:p w14:paraId="06A9F02A">
                  <w:pPr>
                    <w:jc w:val="center"/>
                    <w:rPr>
                      <w:b/>
                      <w:bCs/>
                      <w:szCs w:val="21"/>
                    </w:rPr>
                  </w:pPr>
                  <w:r>
                    <w:rPr>
                      <w:b/>
                      <w:bCs/>
                      <w:szCs w:val="21"/>
                    </w:rPr>
                    <w:t>X</w:t>
                  </w:r>
                </w:p>
              </w:tc>
              <w:tc>
                <w:tcPr>
                  <w:tcW w:w="282" w:type="pct"/>
                  <w:tcBorders>
                    <w:tl2br w:val="nil"/>
                    <w:tr2bl w:val="nil"/>
                  </w:tcBorders>
                  <w:shd w:val="clear" w:color="auto" w:fill="auto"/>
                  <w:vAlign w:val="center"/>
                </w:tcPr>
                <w:p w14:paraId="7D7AE88B">
                  <w:pPr>
                    <w:jc w:val="center"/>
                    <w:rPr>
                      <w:b/>
                      <w:bCs/>
                      <w:szCs w:val="21"/>
                    </w:rPr>
                  </w:pPr>
                  <w:r>
                    <w:rPr>
                      <w:b/>
                      <w:bCs/>
                      <w:szCs w:val="21"/>
                    </w:rPr>
                    <w:t>Y</w:t>
                  </w:r>
                </w:p>
              </w:tc>
              <w:tc>
                <w:tcPr>
                  <w:tcW w:w="282" w:type="pct"/>
                  <w:tcBorders>
                    <w:tl2br w:val="nil"/>
                    <w:tr2bl w:val="nil"/>
                  </w:tcBorders>
                  <w:shd w:val="clear" w:color="auto" w:fill="auto"/>
                  <w:vAlign w:val="center"/>
                </w:tcPr>
                <w:p w14:paraId="0B0D576A">
                  <w:pPr>
                    <w:jc w:val="center"/>
                    <w:rPr>
                      <w:b/>
                      <w:bCs/>
                      <w:szCs w:val="21"/>
                    </w:rPr>
                  </w:pPr>
                  <w:r>
                    <w:rPr>
                      <w:b/>
                      <w:bCs/>
                      <w:szCs w:val="21"/>
                    </w:rPr>
                    <w:t>Z</w:t>
                  </w:r>
                </w:p>
              </w:tc>
              <w:tc>
                <w:tcPr>
                  <w:tcW w:w="282" w:type="pct"/>
                  <w:vMerge w:val="continue"/>
                  <w:tcBorders>
                    <w:tl2br w:val="nil"/>
                    <w:tr2bl w:val="nil"/>
                  </w:tcBorders>
                  <w:shd w:val="clear" w:color="auto" w:fill="auto"/>
                  <w:vAlign w:val="center"/>
                </w:tcPr>
                <w:p w14:paraId="69D4ED85">
                  <w:pPr>
                    <w:jc w:val="center"/>
                    <w:rPr>
                      <w:b/>
                      <w:bCs/>
                      <w:szCs w:val="21"/>
                    </w:rPr>
                  </w:pPr>
                </w:p>
              </w:tc>
              <w:tc>
                <w:tcPr>
                  <w:tcW w:w="282" w:type="pct"/>
                  <w:vMerge w:val="continue"/>
                  <w:tcBorders>
                    <w:tl2br w:val="nil"/>
                    <w:tr2bl w:val="nil"/>
                  </w:tcBorders>
                  <w:shd w:val="clear" w:color="auto" w:fill="auto"/>
                  <w:vAlign w:val="center"/>
                </w:tcPr>
                <w:p w14:paraId="1F001DF3">
                  <w:pPr>
                    <w:jc w:val="center"/>
                    <w:rPr>
                      <w:b/>
                      <w:bCs/>
                      <w:szCs w:val="21"/>
                    </w:rPr>
                  </w:pPr>
                </w:p>
              </w:tc>
              <w:tc>
                <w:tcPr>
                  <w:tcW w:w="282" w:type="pct"/>
                  <w:vMerge w:val="continue"/>
                  <w:tcBorders>
                    <w:tl2br w:val="nil"/>
                    <w:tr2bl w:val="nil"/>
                  </w:tcBorders>
                  <w:shd w:val="clear" w:color="auto" w:fill="auto"/>
                  <w:vAlign w:val="center"/>
                </w:tcPr>
                <w:p w14:paraId="4EEFFF76">
                  <w:pPr>
                    <w:jc w:val="center"/>
                    <w:rPr>
                      <w:b/>
                      <w:bCs/>
                      <w:szCs w:val="21"/>
                    </w:rPr>
                  </w:pPr>
                </w:p>
              </w:tc>
              <w:tc>
                <w:tcPr>
                  <w:tcW w:w="282" w:type="pct"/>
                  <w:vMerge w:val="continue"/>
                  <w:tcBorders>
                    <w:tl2br w:val="nil"/>
                    <w:tr2bl w:val="nil"/>
                  </w:tcBorders>
                  <w:shd w:val="clear" w:color="auto" w:fill="auto"/>
                  <w:vAlign w:val="center"/>
                </w:tcPr>
                <w:p w14:paraId="67985DB2">
                  <w:pPr>
                    <w:jc w:val="center"/>
                    <w:rPr>
                      <w:b/>
                      <w:bCs/>
                      <w:szCs w:val="21"/>
                    </w:rPr>
                  </w:pPr>
                </w:p>
              </w:tc>
              <w:tc>
                <w:tcPr>
                  <w:tcW w:w="282" w:type="pct"/>
                  <w:tcBorders>
                    <w:tl2br w:val="nil"/>
                    <w:tr2bl w:val="nil"/>
                  </w:tcBorders>
                  <w:shd w:val="clear" w:color="auto" w:fill="auto"/>
                  <w:vAlign w:val="center"/>
                </w:tcPr>
                <w:p w14:paraId="0C24BC94">
                  <w:pPr>
                    <w:jc w:val="center"/>
                    <w:rPr>
                      <w:b/>
                      <w:bCs/>
                      <w:szCs w:val="21"/>
                    </w:rPr>
                  </w:pPr>
                  <w:r>
                    <w:rPr>
                      <w:b/>
                      <w:bCs/>
                      <w:szCs w:val="21"/>
                    </w:rPr>
                    <w:t>声压级/dB(A)</w:t>
                  </w:r>
                </w:p>
              </w:tc>
              <w:tc>
                <w:tcPr>
                  <w:tcW w:w="283" w:type="pct"/>
                  <w:tcBorders>
                    <w:tl2br w:val="nil"/>
                    <w:tr2bl w:val="nil"/>
                  </w:tcBorders>
                  <w:shd w:val="clear" w:color="auto" w:fill="auto"/>
                  <w:vAlign w:val="center"/>
                </w:tcPr>
                <w:p w14:paraId="338375AA">
                  <w:pPr>
                    <w:jc w:val="center"/>
                    <w:rPr>
                      <w:b/>
                      <w:bCs/>
                      <w:szCs w:val="21"/>
                    </w:rPr>
                  </w:pPr>
                  <w:r>
                    <w:rPr>
                      <w:b/>
                      <w:bCs/>
                      <w:szCs w:val="21"/>
                    </w:rPr>
                    <w:t>建筑物外距离</w:t>
                  </w:r>
                </w:p>
              </w:tc>
            </w:tr>
            <w:tr w14:paraId="001BF6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32183951">
                  <w:pPr>
                    <w:widowControl/>
                    <w:numPr>
                      <w:ilvl w:val="0"/>
                      <w:numId w:val="12"/>
                    </w:numPr>
                    <w:tabs>
                      <w:tab w:val="clear" w:pos="0"/>
                    </w:tabs>
                    <w:jc w:val="center"/>
                    <w:textAlignment w:val="center"/>
                    <w:rPr>
                      <w:szCs w:val="21"/>
                    </w:rPr>
                  </w:pPr>
                </w:p>
              </w:tc>
              <w:tc>
                <w:tcPr>
                  <w:tcW w:w="429" w:type="pct"/>
                  <w:vMerge w:val="restart"/>
                  <w:tcBorders>
                    <w:tl2br w:val="nil"/>
                    <w:tr2bl w:val="nil"/>
                  </w:tcBorders>
                  <w:shd w:val="clear" w:color="auto" w:fill="auto"/>
                  <w:vAlign w:val="center"/>
                </w:tcPr>
                <w:p w14:paraId="4560BC27">
                  <w:pPr>
                    <w:jc w:val="center"/>
                    <w:rPr>
                      <w:szCs w:val="21"/>
                    </w:rPr>
                  </w:pPr>
                  <w:r>
                    <w:rPr>
                      <w:rFonts w:hint="eastAsia"/>
                    </w:rPr>
                    <w:t>进水泵房、格栅</w:t>
                  </w:r>
                </w:p>
              </w:tc>
              <w:tc>
                <w:tcPr>
                  <w:tcW w:w="589" w:type="pct"/>
                  <w:tcBorders>
                    <w:tl2br w:val="nil"/>
                    <w:tr2bl w:val="nil"/>
                  </w:tcBorders>
                  <w:shd w:val="clear" w:color="auto" w:fill="auto"/>
                  <w:vAlign w:val="center"/>
                </w:tcPr>
                <w:p w14:paraId="7C46BCEB">
                  <w:pPr>
                    <w:pStyle w:val="38"/>
                  </w:pPr>
                  <w:r>
                    <w:rPr>
                      <w:rFonts w:hint="eastAsia"/>
                    </w:rPr>
                    <w:t>提升</w:t>
                  </w:r>
                  <w:r>
                    <w:t>泵</w:t>
                  </w:r>
                </w:p>
              </w:tc>
              <w:tc>
                <w:tcPr>
                  <w:tcW w:w="485" w:type="pct"/>
                  <w:tcBorders>
                    <w:tl2br w:val="nil"/>
                    <w:tr2bl w:val="nil"/>
                  </w:tcBorders>
                  <w:shd w:val="clear" w:color="auto" w:fill="auto"/>
                  <w:vAlign w:val="center"/>
                </w:tcPr>
                <w:p w14:paraId="0AB50CBE">
                  <w:pPr>
                    <w:pStyle w:val="38"/>
                  </w:pPr>
                  <w:r>
                    <w:rPr>
                      <w:rFonts w:hint="eastAsia"/>
                    </w:rPr>
                    <w:t>2</w:t>
                  </w:r>
                </w:p>
              </w:tc>
              <w:tc>
                <w:tcPr>
                  <w:tcW w:w="485" w:type="pct"/>
                  <w:tcBorders>
                    <w:tl2br w:val="nil"/>
                    <w:tr2bl w:val="nil"/>
                  </w:tcBorders>
                  <w:shd w:val="clear" w:color="auto" w:fill="auto"/>
                  <w:vAlign w:val="center"/>
                </w:tcPr>
                <w:p w14:paraId="15CFECD7">
                  <w:pPr>
                    <w:pStyle w:val="38"/>
                  </w:pPr>
                  <w:r>
                    <w:t>80</w:t>
                  </w:r>
                </w:p>
              </w:tc>
              <w:tc>
                <w:tcPr>
                  <w:tcW w:w="282" w:type="pct"/>
                  <w:vMerge w:val="restart"/>
                  <w:tcBorders>
                    <w:tl2br w:val="nil"/>
                    <w:tr2bl w:val="nil"/>
                  </w:tcBorders>
                  <w:shd w:val="clear" w:color="auto" w:fill="auto"/>
                  <w:vAlign w:val="center"/>
                </w:tcPr>
                <w:p w14:paraId="3A836362">
                  <w:pPr>
                    <w:jc w:val="center"/>
                    <w:rPr>
                      <w:szCs w:val="21"/>
                    </w:rPr>
                  </w:pPr>
                  <w:r>
                    <w:rPr>
                      <w:szCs w:val="21"/>
                    </w:rPr>
                    <w:t>选用低噪声设备、减振、消声</w:t>
                  </w:r>
                </w:p>
              </w:tc>
              <w:tc>
                <w:tcPr>
                  <w:tcW w:w="282" w:type="pct"/>
                  <w:tcBorders>
                    <w:tl2br w:val="nil"/>
                    <w:tr2bl w:val="nil"/>
                  </w:tcBorders>
                  <w:shd w:val="clear" w:color="auto" w:fill="auto"/>
                  <w:vAlign w:val="center"/>
                </w:tcPr>
                <w:p w14:paraId="0F446F54">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282" w:type="pct"/>
                  <w:tcBorders>
                    <w:tl2br w:val="nil"/>
                    <w:tr2bl w:val="nil"/>
                  </w:tcBorders>
                  <w:shd w:val="clear" w:color="auto" w:fill="auto"/>
                  <w:vAlign w:val="center"/>
                </w:tcPr>
                <w:p w14:paraId="4CD99171">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282" w:type="pct"/>
                  <w:tcBorders>
                    <w:tl2br w:val="nil"/>
                    <w:tr2bl w:val="nil"/>
                  </w:tcBorders>
                  <w:shd w:val="clear" w:color="auto" w:fill="auto"/>
                  <w:vAlign w:val="center"/>
                </w:tcPr>
                <w:p w14:paraId="60E451A7">
                  <w:pPr>
                    <w:jc w:val="center"/>
                    <w:rPr>
                      <w:rFonts w:hint="eastAsia" w:eastAsia="宋体"/>
                      <w:szCs w:val="21"/>
                      <w:lang w:eastAsia="zh-CN"/>
                    </w:rPr>
                  </w:pPr>
                  <w:r>
                    <w:rPr>
                      <w:rFonts w:hint="eastAsia"/>
                      <w:szCs w:val="21"/>
                    </w:rPr>
                    <w:t>-</w:t>
                  </w:r>
                  <w:r>
                    <w:rPr>
                      <w:rFonts w:hint="eastAsia"/>
                      <w:szCs w:val="21"/>
                      <w:lang w:val="en-US" w:eastAsia="zh-CN"/>
                    </w:rPr>
                    <w:t>2</w:t>
                  </w:r>
                </w:p>
              </w:tc>
              <w:tc>
                <w:tcPr>
                  <w:tcW w:w="282" w:type="pct"/>
                  <w:tcBorders>
                    <w:tl2br w:val="nil"/>
                    <w:tr2bl w:val="nil"/>
                  </w:tcBorders>
                  <w:shd w:val="clear" w:color="auto" w:fill="auto"/>
                  <w:vAlign w:val="center"/>
                </w:tcPr>
                <w:p w14:paraId="0D442520">
                  <w:pPr>
                    <w:pStyle w:val="38"/>
                  </w:pPr>
                  <w:r>
                    <w:t xml:space="preserve">8.0 </w:t>
                  </w:r>
                </w:p>
              </w:tc>
              <w:tc>
                <w:tcPr>
                  <w:tcW w:w="282" w:type="pct"/>
                  <w:tcBorders>
                    <w:tl2br w:val="nil"/>
                    <w:tr2bl w:val="nil"/>
                  </w:tcBorders>
                  <w:shd w:val="clear" w:color="auto" w:fill="auto"/>
                  <w:vAlign w:val="center"/>
                </w:tcPr>
                <w:p w14:paraId="12CA2573">
                  <w:pPr>
                    <w:pStyle w:val="38"/>
                  </w:pPr>
                  <w:r>
                    <w:t xml:space="preserve">54.95 </w:t>
                  </w:r>
                </w:p>
              </w:tc>
              <w:tc>
                <w:tcPr>
                  <w:tcW w:w="282" w:type="pct"/>
                  <w:vMerge w:val="restart"/>
                  <w:tcBorders>
                    <w:tl2br w:val="nil"/>
                    <w:tr2bl w:val="nil"/>
                  </w:tcBorders>
                  <w:shd w:val="clear" w:color="auto" w:fill="auto"/>
                  <w:vAlign w:val="center"/>
                </w:tcPr>
                <w:p w14:paraId="572E5F26">
                  <w:pPr>
                    <w:jc w:val="center"/>
                    <w:rPr>
                      <w:szCs w:val="21"/>
                    </w:rPr>
                  </w:pPr>
                  <w:r>
                    <w:rPr>
                      <w:rFonts w:hint="eastAsia"/>
                      <w:szCs w:val="21"/>
                    </w:rPr>
                    <w:t>全天24h</w:t>
                  </w:r>
                </w:p>
              </w:tc>
              <w:tc>
                <w:tcPr>
                  <w:tcW w:w="282" w:type="pct"/>
                  <w:tcBorders>
                    <w:tl2br w:val="nil"/>
                    <w:tr2bl w:val="nil"/>
                  </w:tcBorders>
                  <w:shd w:val="clear" w:color="auto" w:fill="auto"/>
                  <w:vAlign w:val="center"/>
                </w:tcPr>
                <w:p w14:paraId="385C9F4F">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695F77F2">
                  <w:pPr>
                    <w:pStyle w:val="38"/>
                  </w:pPr>
                  <w:r>
                    <w:t xml:space="preserve">39.95 </w:t>
                  </w:r>
                </w:p>
              </w:tc>
              <w:tc>
                <w:tcPr>
                  <w:tcW w:w="283" w:type="pct"/>
                  <w:tcBorders>
                    <w:tl2br w:val="nil"/>
                    <w:tr2bl w:val="nil"/>
                  </w:tcBorders>
                  <w:shd w:val="clear" w:color="auto" w:fill="auto"/>
                  <w:vAlign w:val="center"/>
                </w:tcPr>
                <w:p w14:paraId="452A2ED2">
                  <w:pPr>
                    <w:pStyle w:val="38"/>
                  </w:pPr>
                  <w:r>
                    <w:rPr>
                      <w:rFonts w:hint="eastAsia"/>
                    </w:rPr>
                    <w:t>1</w:t>
                  </w:r>
                </w:p>
              </w:tc>
            </w:tr>
            <w:tr w14:paraId="252249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66FFC5A4">
                  <w:pPr>
                    <w:widowControl/>
                    <w:numPr>
                      <w:ilvl w:val="0"/>
                      <w:numId w:val="12"/>
                    </w:numPr>
                    <w:tabs>
                      <w:tab w:val="clear" w:pos="0"/>
                    </w:tabs>
                    <w:jc w:val="center"/>
                    <w:textAlignment w:val="center"/>
                    <w:rPr>
                      <w:szCs w:val="21"/>
                    </w:rPr>
                  </w:pPr>
                </w:p>
              </w:tc>
              <w:tc>
                <w:tcPr>
                  <w:tcW w:w="429" w:type="pct"/>
                  <w:vMerge w:val="continue"/>
                  <w:tcBorders>
                    <w:tl2br w:val="nil"/>
                    <w:tr2bl w:val="nil"/>
                  </w:tcBorders>
                  <w:shd w:val="clear" w:color="auto" w:fill="auto"/>
                  <w:vAlign w:val="center"/>
                </w:tcPr>
                <w:p w14:paraId="4C84179C">
                  <w:pPr>
                    <w:jc w:val="center"/>
                  </w:pPr>
                </w:p>
              </w:tc>
              <w:tc>
                <w:tcPr>
                  <w:tcW w:w="589" w:type="pct"/>
                  <w:tcBorders>
                    <w:tl2br w:val="nil"/>
                    <w:tr2bl w:val="nil"/>
                  </w:tcBorders>
                  <w:shd w:val="clear" w:color="auto" w:fill="auto"/>
                  <w:vAlign w:val="center"/>
                </w:tcPr>
                <w:p w14:paraId="5874C90D">
                  <w:pPr>
                    <w:pStyle w:val="38"/>
                  </w:pPr>
                  <w:r>
                    <w:t>中压冲洗泵</w:t>
                  </w:r>
                </w:p>
              </w:tc>
              <w:tc>
                <w:tcPr>
                  <w:tcW w:w="485" w:type="pct"/>
                  <w:tcBorders>
                    <w:tl2br w:val="nil"/>
                    <w:tr2bl w:val="nil"/>
                  </w:tcBorders>
                  <w:shd w:val="clear" w:color="auto" w:fill="auto"/>
                  <w:vAlign w:val="center"/>
                </w:tcPr>
                <w:p w14:paraId="3B30814B">
                  <w:pPr>
                    <w:pStyle w:val="38"/>
                    <w:rPr>
                      <w:rFonts w:hint="eastAsia" w:eastAsia="宋体"/>
                      <w:lang w:val="en-US" w:eastAsia="zh-CN"/>
                    </w:rPr>
                  </w:pPr>
                  <w:r>
                    <w:rPr>
                      <w:rFonts w:hint="eastAsia"/>
                    </w:rPr>
                    <w:t>2</w:t>
                  </w:r>
                  <w:r>
                    <w:rPr>
                      <w:rFonts w:hint="eastAsia"/>
                      <w:lang w:val="en-US" w:eastAsia="zh-CN"/>
                    </w:rPr>
                    <w:t xml:space="preserve"> </w:t>
                  </w:r>
                </w:p>
              </w:tc>
              <w:tc>
                <w:tcPr>
                  <w:tcW w:w="485" w:type="pct"/>
                  <w:tcBorders>
                    <w:tl2br w:val="nil"/>
                    <w:tr2bl w:val="nil"/>
                  </w:tcBorders>
                  <w:shd w:val="clear" w:color="auto" w:fill="auto"/>
                  <w:vAlign w:val="center"/>
                </w:tcPr>
                <w:p w14:paraId="204C53BE">
                  <w:pPr>
                    <w:pStyle w:val="38"/>
                  </w:pPr>
                  <w:r>
                    <w:t>75</w:t>
                  </w:r>
                </w:p>
              </w:tc>
              <w:tc>
                <w:tcPr>
                  <w:tcW w:w="282" w:type="pct"/>
                  <w:vMerge w:val="continue"/>
                  <w:tcBorders>
                    <w:tl2br w:val="nil"/>
                    <w:tr2bl w:val="nil"/>
                  </w:tcBorders>
                  <w:shd w:val="clear" w:color="auto" w:fill="auto"/>
                  <w:vAlign w:val="center"/>
                </w:tcPr>
                <w:p w14:paraId="6B3445B6">
                  <w:pPr>
                    <w:jc w:val="center"/>
                    <w:rPr>
                      <w:szCs w:val="21"/>
                    </w:rPr>
                  </w:pPr>
                </w:p>
              </w:tc>
              <w:tc>
                <w:tcPr>
                  <w:tcW w:w="282" w:type="pct"/>
                  <w:tcBorders>
                    <w:tl2br w:val="nil"/>
                    <w:tr2bl w:val="nil"/>
                  </w:tcBorders>
                  <w:shd w:val="clear" w:color="auto" w:fill="auto"/>
                  <w:vAlign w:val="center"/>
                </w:tcPr>
                <w:p w14:paraId="26180200">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282" w:type="pct"/>
                  <w:tcBorders>
                    <w:tl2br w:val="nil"/>
                    <w:tr2bl w:val="nil"/>
                  </w:tcBorders>
                  <w:shd w:val="clear" w:color="auto" w:fill="auto"/>
                  <w:vAlign w:val="center"/>
                </w:tcPr>
                <w:p w14:paraId="71621383">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282" w:type="pct"/>
                  <w:tcBorders>
                    <w:tl2br w:val="nil"/>
                    <w:tr2bl w:val="nil"/>
                  </w:tcBorders>
                  <w:shd w:val="clear" w:color="auto" w:fill="auto"/>
                  <w:vAlign w:val="center"/>
                </w:tcPr>
                <w:p w14:paraId="1461B789">
                  <w:pPr>
                    <w:jc w:val="center"/>
                    <w:rPr>
                      <w:rFonts w:hint="eastAsia" w:eastAsia="宋体"/>
                      <w:szCs w:val="21"/>
                      <w:lang w:eastAsia="zh-CN"/>
                    </w:rPr>
                  </w:pPr>
                  <w:r>
                    <w:rPr>
                      <w:rFonts w:hint="eastAsia"/>
                      <w:szCs w:val="21"/>
                    </w:rPr>
                    <w:t>-</w:t>
                  </w:r>
                  <w:r>
                    <w:rPr>
                      <w:rFonts w:hint="eastAsia"/>
                      <w:szCs w:val="21"/>
                      <w:lang w:val="en-US" w:eastAsia="zh-CN"/>
                    </w:rPr>
                    <w:t>2</w:t>
                  </w:r>
                </w:p>
              </w:tc>
              <w:tc>
                <w:tcPr>
                  <w:tcW w:w="282" w:type="pct"/>
                  <w:tcBorders>
                    <w:tl2br w:val="nil"/>
                    <w:tr2bl w:val="nil"/>
                  </w:tcBorders>
                  <w:shd w:val="clear" w:color="auto" w:fill="auto"/>
                  <w:vAlign w:val="center"/>
                </w:tcPr>
                <w:p w14:paraId="37972019">
                  <w:pPr>
                    <w:pStyle w:val="38"/>
                  </w:pPr>
                  <w:r>
                    <w:t xml:space="preserve">10.0 </w:t>
                  </w:r>
                </w:p>
              </w:tc>
              <w:tc>
                <w:tcPr>
                  <w:tcW w:w="282" w:type="pct"/>
                  <w:tcBorders>
                    <w:tl2br w:val="nil"/>
                    <w:tr2bl w:val="nil"/>
                  </w:tcBorders>
                  <w:shd w:val="clear" w:color="auto" w:fill="auto"/>
                  <w:vAlign w:val="center"/>
                </w:tcPr>
                <w:p w14:paraId="314AB428">
                  <w:pPr>
                    <w:pStyle w:val="38"/>
                  </w:pPr>
                  <w:r>
                    <w:t xml:space="preserve">48.01 </w:t>
                  </w:r>
                </w:p>
              </w:tc>
              <w:tc>
                <w:tcPr>
                  <w:tcW w:w="282" w:type="pct"/>
                  <w:vMerge w:val="continue"/>
                  <w:tcBorders>
                    <w:tl2br w:val="nil"/>
                    <w:tr2bl w:val="nil"/>
                  </w:tcBorders>
                  <w:shd w:val="clear" w:color="auto" w:fill="auto"/>
                  <w:vAlign w:val="center"/>
                </w:tcPr>
                <w:p w14:paraId="1876DEE6">
                  <w:pPr>
                    <w:jc w:val="center"/>
                    <w:rPr>
                      <w:szCs w:val="21"/>
                    </w:rPr>
                  </w:pPr>
                </w:p>
              </w:tc>
              <w:tc>
                <w:tcPr>
                  <w:tcW w:w="282" w:type="pct"/>
                  <w:tcBorders>
                    <w:tl2br w:val="nil"/>
                    <w:tr2bl w:val="nil"/>
                  </w:tcBorders>
                  <w:shd w:val="clear" w:color="auto" w:fill="auto"/>
                  <w:vAlign w:val="center"/>
                </w:tcPr>
                <w:p w14:paraId="0B9BDA6E">
                  <w:pPr>
                    <w:jc w:val="center"/>
                    <w:rPr>
                      <w:szCs w:val="21"/>
                    </w:rPr>
                  </w:pPr>
                  <w:r>
                    <w:rPr>
                      <w:rFonts w:hint="eastAsia"/>
                      <w:szCs w:val="21"/>
                    </w:rPr>
                    <w:t>15</w:t>
                  </w:r>
                </w:p>
              </w:tc>
              <w:tc>
                <w:tcPr>
                  <w:tcW w:w="282" w:type="pct"/>
                  <w:tcBorders>
                    <w:tl2br w:val="nil"/>
                    <w:tr2bl w:val="nil"/>
                  </w:tcBorders>
                  <w:shd w:val="clear" w:color="auto" w:fill="auto"/>
                  <w:vAlign w:val="center"/>
                </w:tcPr>
                <w:p w14:paraId="18DD353C">
                  <w:pPr>
                    <w:pStyle w:val="38"/>
                  </w:pPr>
                  <w:r>
                    <w:t xml:space="preserve">33.01 </w:t>
                  </w:r>
                </w:p>
              </w:tc>
              <w:tc>
                <w:tcPr>
                  <w:tcW w:w="283" w:type="pct"/>
                  <w:tcBorders>
                    <w:tl2br w:val="nil"/>
                    <w:tr2bl w:val="nil"/>
                  </w:tcBorders>
                  <w:shd w:val="clear" w:color="auto" w:fill="auto"/>
                  <w:vAlign w:val="center"/>
                </w:tcPr>
                <w:p w14:paraId="43AD038D">
                  <w:pPr>
                    <w:pStyle w:val="38"/>
                  </w:pPr>
                  <w:r>
                    <w:rPr>
                      <w:rFonts w:hint="eastAsia"/>
                    </w:rPr>
                    <w:t>1</w:t>
                  </w:r>
                </w:p>
              </w:tc>
            </w:tr>
            <w:tr w14:paraId="2F6726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87" w:hRule="atLeast"/>
                <w:jc w:val="center"/>
              </w:trPr>
              <w:tc>
                <w:tcPr>
                  <w:tcW w:w="187" w:type="pct"/>
                  <w:tcBorders>
                    <w:tl2br w:val="nil"/>
                    <w:tr2bl w:val="nil"/>
                  </w:tcBorders>
                  <w:shd w:val="clear" w:color="auto" w:fill="auto"/>
                  <w:vAlign w:val="center"/>
                </w:tcPr>
                <w:p w14:paraId="5DB5CEA7">
                  <w:pPr>
                    <w:widowControl/>
                    <w:numPr>
                      <w:ilvl w:val="0"/>
                      <w:numId w:val="12"/>
                    </w:numPr>
                    <w:tabs>
                      <w:tab w:val="clear" w:pos="0"/>
                    </w:tabs>
                    <w:jc w:val="center"/>
                    <w:textAlignment w:val="center"/>
                    <w:rPr>
                      <w:szCs w:val="21"/>
                    </w:rPr>
                  </w:pPr>
                </w:p>
              </w:tc>
              <w:tc>
                <w:tcPr>
                  <w:tcW w:w="429" w:type="pct"/>
                  <w:vMerge w:val="restart"/>
                  <w:tcBorders>
                    <w:tl2br w:val="nil"/>
                    <w:tr2bl w:val="nil"/>
                  </w:tcBorders>
                  <w:shd w:val="clear" w:color="auto" w:fill="auto"/>
                  <w:vAlign w:val="center"/>
                </w:tcPr>
                <w:p w14:paraId="34DB7CA3">
                  <w:pPr>
                    <w:jc w:val="center"/>
                    <w:rPr>
                      <w:rFonts w:hint="default" w:eastAsia="宋体"/>
                      <w:szCs w:val="21"/>
                      <w:lang w:val="en-US" w:eastAsia="zh-CN"/>
                    </w:rPr>
                  </w:pPr>
                  <w:r>
                    <w:rPr>
                      <w:rFonts w:hint="eastAsia"/>
                      <w:szCs w:val="21"/>
                      <w:lang w:val="en-US" w:eastAsia="zh-CN"/>
                    </w:rPr>
                    <w:t>调节池</w:t>
                  </w:r>
                </w:p>
              </w:tc>
              <w:tc>
                <w:tcPr>
                  <w:tcW w:w="589" w:type="pct"/>
                  <w:tcBorders>
                    <w:tl2br w:val="nil"/>
                    <w:tr2bl w:val="nil"/>
                  </w:tcBorders>
                  <w:shd w:val="clear" w:color="auto" w:fill="auto"/>
                  <w:vAlign w:val="center"/>
                </w:tcPr>
                <w:p w14:paraId="5634B628">
                  <w:pPr>
                    <w:pStyle w:val="38"/>
                  </w:pPr>
                  <w:r>
                    <w:rPr>
                      <w:rFonts w:hint="eastAsia"/>
                    </w:rPr>
                    <w:t>潜水搅拌器</w:t>
                  </w:r>
                </w:p>
              </w:tc>
              <w:tc>
                <w:tcPr>
                  <w:tcW w:w="485" w:type="pct"/>
                  <w:tcBorders>
                    <w:tl2br w:val="nil"/>
                    <w:tr2bl w:val="nil"/>
                  </w:tcBorders>
                  <w:shd w:val="clear" w:color="auto" w:fill="auto"/>
                  <w:vAlign w:val="center"/>
                </w:tcPr>
                <w:p w14:paraId="775CC831">
                  <w:pPr>
                    <w:pStyle w:val="38"/>
                  </w:pPr>
                  <w:r>
                    <w:t>1</w:t>
                  </w:r>
                </w:p>
              </w:tc>
              <w:tc>
                <w:tcPr>
                  <w:tcW w:w="485" w:type="pct"/>
                  <w:tcBorders>
                    <w:tl2br w:val="nil"/>
                    <w:tr2bl w:val="nil"/>
                  </w:tcBorders>
                  <w:shd w:val="clear" w:color="auto" w:fill="auto"/>
                  <w:vAlign w:val="center"/>
                </w:tcPr>
                <w:p w14:paraId="3630DB0C">
                  <w:pPr>
                    <w:pStyle w:val="38"/>
                  </w:pPr>
                  <w:r>
                    <w:t>70</w:t>
                  </w:r>
                </w:p>
              </w:tc>
              <w:tc>
                <w:tcPr>
                  <w:tcW w:w="282" w:type="pct"/>
                  <w:vMerge w:val="continue"/>
                  <w:tcBorders>
                    <w:tl2br w:val="nil"/>
                    <w:tr2bl w:val="nil"/>
                  </w:tcBorders>
                  <w:shd w:val="clear" w:color="auto" w:fill="auto"/>
                  <w:vAlign w:val="center"/>
                </w:tcPr>
                <w:p w14:paraId="71C0FC84">
                  <w:pPr>
                    <w:jc w:val="center"/>
                    <w:rPr>
                      <w:szCs w:val="21"/>
                    </w:rPr>
                  </w:pPr>
                </w:p>
              </w:tc>
              <w:tc>
                <w:tcPr>
                  <w:tcW w:w="282" w:type="pct"/>
                  <w:tcBorders>
                    <w:tl2br w:val="nil"/>
                    <w:tr2bl w:val="nil"/>
                  </w:tcBorders>
                  <w:shd w:val="clear" w:color="auto" w:fill="auto"/>
                  <w:vAlign w:val="center"/>
                </w:tcPr>
                <w:p w14:paraId="19849A68">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282" w:type="pct"/>
                  <w:tcBorders>
                    <w:tl2br w:val="nil"/>
                    <w:tr2bl w:val="nil"/>
                  </w:tcBorders>
                  <w:shd w:val="clear" w:color="auto" w:fill="auto"/>
                  <w:vAlign w:val="center"/>
                </w:tcPr>
                <w:p w14:paraId="32F945B5">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282" w:type="pct"/>
                  <w:tcBorders>
                    <w:tl2br w:val="nil"/>
                    <w:tr2bl w:val="nil"/>
                  </w:tcBorders>
                  <w:shd w:val="clear" w:color="auto" w:fill="auto"/>
                  <w:vAlign w:val="center"/>
                </w:tcPr>
                <w:p w14:paraId="67A8682F">
                  <w:pPr>
                    <w:jc w:val="center"/>
                    <w:rPr>
                      <w:rFonts w:hint="eastAsia" w:eastAsia="宋体"/>
                      <w:szCs w:val="21"/>
                      <w:lang w:eastAsia="zh-CN"/>
                    </w:rPr>
                  </w:pPr>
                  <w:r>
                    <w:rPr>
                      <w:rFonts w:hint="eastAsia"/>
                      <w:szCs w:val="21"/>
                    </w:rPr>
                    <w:t>-</w:t>
                  </w:r>
                  <w:r>
                    <w:rPr>
                      <w:rFonts w:hint="eastAsia"/>
                      <w:szCs w:val="21"/>
                      <w:lang w:val="en-US" w:eastAsia="zh-CN"/>
                    </w:rPr>
                    <w:t>2</w:t>
                  </w:r>
                </w:p>
              </w:tc>
              <w:tc>
                <w:tcPr>
                  <w:tcW w:w="282" w:type="pct"/>
                  <w:tcBorders>
                    <w:tl2br w:val="nil"/>
                    <w:tr2bl w:val="nil"/>
                  </w:tcBorders>
                  <w:shd w:val="clear" w:color="auto" w:fill="auto"/>
                  <w:vAlign w:val="center"/>
                </w:tcPr>
                <w:p w14:paraId="561D3464">
                  <w:pPr>
                    <w:pStyle w:val="38"/>
                  </w:pPr>
                  <w:r>
                    <w:t xml:space="preserve">5.0 </w:t>
                  </w:r>
                </w:p>
              </w:tc>
              <w:tc>
                <w:tcPr>
                  <w:tcW w:w="282" w:type="pct"/>
                  <w:tcBorders>
                    <w:tl2br w:val="nil"/>
                    <w:tr2bl w:val="nil"/>
                  </w:tcBorders>
                  <w:shd w:val="clear" w:color="auto" w:fill="auto"/>
                  <w:vAlign w:val="center"/>
                </w:tcPr>
                <w:p w14:paraId="4A199DD3">
                  <w:pPr>
                    <w:pStyle w:val="38"/>
                  </w:pPr>
                  <w:r>
                    <w:t xml:space="preserve">48.01 </w:t>
                  </w:r>
                </w:p>
              </w:tc>
              <w:tc>
                <w:tcPr>
                  <w:tcW w:w="282" w:type="pct"/>
                  <w:vMerge w:val="continue"/>
                  <w:tcBorders>
                    <w:tl2br w:val="nil"/>
                    <w:tr2bl w:val="nil"/>
                  </w:tcBorders>
                  <w:shd w:val="clear" w:color="auto" w:fill="auto"/>
                  <w:vAlign w:val="center"/>
                </w:tcPr>
                <w:p w14:paraId="4115E393">
                  <w:pPr>
                    <w:jc w:val="center"/>
                    <w:rPr>
                      <w:szCs w:val="21"/>
                    </w:rPr>
                  </w:pPr>
                </w:p>
              </w:tc>
              <w:tc>
                <w:tcPr>
                  <w:tcW w:w="282" w:type="pct"/>
                  <w:tcBorders>
                    <w:tl2br w:val="nil"/>
                    <w:tr2bl w:val="nil"/>
                  </w:tcBorders>
                  <w:shd w:val="clear" w:color="auto" w:fill="auto"/>
                  <w:vAlign w:val="center"/>
                </w:tcPr>
                <w:p w14:paraId="26D597E8">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6727BD24">
                  <w:pPr>
                    <w:pStyle w:val="38"/>
                  </w:pPr>
                  <w:r>
                    <w:t xml:space="preserve">33.01 </w:t>
                  </w:r>
                </w:p>
              </w:tc>
              <w:tc>
                <w:tcPr>
                  <w:tcW w:w="283" w:type="pct"/>
                  <w:tcBorders>
                    <w:tl2br w:val="nil"/>
                    <w:tr2bl w:val="nil"/>
                  </w:tcBorders>
                  <w:shd w:val="clear" w:color="auto" w:fill="auto"/>
                  <w:vAlign w:val="center"/>
                </w:tcPr>
                <w:p w14:paraId="5428A55F">
                  <w:pPr>
                    <w:pStyle w:val="38"/>
                  </w:pPr>
                  <w:r>
                    <w:rPr>
                      <w:rFonts w:hint="eastAsia"/>
                    </w:rPr>
                    <w:t>1</w:t>
                  </w:r>
                </w:p>
              </w:tc>
            </w:tr>
            <w:tr w14:paraId="76EF5C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01FEB182">
                  <w:pPr>
                    <w:widowControl/>
                    <w:numPr>
                      <w:ilvl w:val="0"/>
                      <w:numId w:val="12"/>
                    </w:numPr>
                    <w:tabs>
                      <w:tab w:val="clear" w:pos="0"/>
                    </w:tabs>
                    <w:jc w:val="center"/>
                    <w:textAlignment w:val="center"/>
                    <w:rPr>
                      <w:szCs w:val="21"/>
                    </w:rPr>
                  </w:pPr>
                </w:p>
              </w:tc>
              <w:tc>
                <w:tcPr>
                  <w:tcW w:w="429" w:type="pct"/>
                  <w:vMerge w:val="continue"/>
                  <w:tcBorders>
                    <w:tl2br w:val="nil"/>
                    <w:tr2bl w:val="nil"/>
                  </w:tcBorders>
                  <w:shd w:val="clear" w:color="auto" w:fill="auto"/>
                  <w:vAlign w:val="center"/>
                </w:tcPr>
                <w:p w14:paraId="1CCC6534">
                  <w:pPr>
                    <w:jc w:val="center"/>
                    <w:rPr>
                      <w:szCs w:val="21"/>
                    </w:rPr>
                  </w:pPr>
                </w:p>
              </w:tc>
              <w:tc>
                <w:tcPr>
                  <w:tcW w:w="589" w:type="pct"/>
                  <w:tcBorders>
                    <w:tl2br w:val="nil"/>
                    <w:tr2bl w:val="nil"/>
                  </w:tcBorders>
                  <w:shd w:val="clear" w:color="auto" w:fill="auto"/>
                  <w:vAlign w:val="center"/>
                </w:tcPr>
                <w:p w14:paraId="3DD9CCE3">
                  <w:pPr>
                    <w:pStyle w:val="38"/>
                  </w:pPr>
                  <w:r>
                    <w:rPr>
                      <w:rFonts w:ascii="宋体" w:hAnsi="宋体" w:cs="宋体"/>
                      <w:spacing w:val="7"/>
                    </w:rPr>
                    <w:t>冲洗水泵</w:t>
                  </w:r>
                </w:p>
              </w:tc>
              <w:tc>
                <w:tcPr>
                  <w:tcW w:w="485" w:type="pct"/>
                  <w:tcBorders>
                    <w:tl2br w:val="nil"/>
                    <w:tr2bl w:val="nil"/>
                  </w:tcBorders>
                  <w:shd w:val="clear" w:color="auto" w:fill="auto"/>
                  <w:vAlign w:val="center"/>
                </w:tcPr>
                <w:p w14:paraId="2D0996AB">
                  <w:pPr>
                    <w:pStyle w:val="38"/>
                    <w:rPr>
                      <w:rFonts w:hint="eastAsia" w:eastAsia="宋体"/>
                      <w:lang w:eastAsia="zh-CN"/>
                    </w:rPr>
                  </w:pPr>
                  <w:r>
                    <w:rPr>
                      <w:rFonts w:hint="eastAsia"/>
                      <w:lang w:val="en-US" w:eastAsia="zh-CN"/>
                    </w:rPr>
                    <w:t>1</w:t>
                  </w:r>
                </w:p>
              </w:tc>
              <w:tc>
                <w:tcPr>
                  <w:tcW w:w="485" w:type="pct"/>
                  <w:tcBorders>
                    <w:tl2br w:val="nil"/>
                    <w:tr2bl w:val="nil"/>
                  </w:tcBorders>
                  <w:shd w:val="clear" w:color="auto" w:fill="auto"/>
                  <w:vAlign w:val="center"/>
                </w:tcPr>
                <w:p w14:paraId="37C24443">
                  <w:pPr>
                    <w:pStyle w:val="38"/>
                  </w:pPr>
                  <w:r>
                    <w:t>80</w:t>
                  </w:r>
                </w:p>
              </w:tc>
              <w:tc>
                <w:tcPr>
                  <w:tcW w:w="282" w:type="pct"/>
                  <w:vMerge w:val="continue"/>
                  <w:tcBorders>
                    <w:tl2br w:val="nil"/>
                    <w:tr2bl w:val="nil"/>
                  </w:tcBorders>
                  <w:shd w:val="clear" w:color="auto" w:fill="auto"/>
                  <w:vAlign w:val="center"/>
                </w:tcPr>
                <w:p w14:paraId="1759B38F">
                  <w:pPr>
                    <w:jc w:val="center"/>
                    <w:rPr>
                      <w:szCs w:val="21"/>
                    </w:rPr>
                  </w:pPr>
                </w:p>
              </w:tc>
              <w:tc>
                <w:tcPr>
                  <w:tcW w:w="282" w:type="pct"/>
                  <w:tcBorders>
                    <w:tl2br w:val="nil"/>
                    <w:tr2bl w:val="nil"/>
                  </w:tcBorders>
                  <w:shd w:val="clear" w:color="auto" w:fill="auto"/>
                  <w:vAlign w:val="center"/>
                </w:tcPr>
                <w:p w14:paraId="047DB93F">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-25</w:t>
                  </w:r>
                </w:p>
              </w:tc>
              <w:tc>
                <w:tcPr>
                  <w:tcW w:w="282" w:type="pct"/>
                  <w:tcBorders>
                    <w:tl2br w:val="nil"/>
                    <w:tr2bl w:val="nil"/>
                  </w:tcBorders>
                  <w:shd w:val="clear" w:color="auto" w:fill="auto"/>
                  <w:vAlign w:val="center"/>
                </w:tcPr>
                <w:p w14:paraId="16E428B9">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282" w:type="pct"/>
                  <w:tcBorders>
                    <w:tl2br w:val="nil"/>
                    <w:tr2bl w:val="nil"/>
                  </w:tcBorders>
                  <w:shd w:val="clear" w:color="auto" w:fill="auto"/>
                  <w:vAlign w:val="center"/>
                </w:tcPr>
                <w:p w14:paraId="1ADC7672">
                  <w:pPr>
                    <w:jc w:val="center"/>
                    <w:rPr>
                      <w:rFonts w:hint="eastAsia" w:eastAsia="宋体"/>
                      <w:szCs w:val="21"/>
                      <w:lang w:eastAsia="zh-CN"/>
                    </w:rPr>
                  </w:pPr>
                  <w:r>
                    <w:rPr>
                      <w:rFonts w:hint="eastAsia"/>
                      <w:szCs w:val="21"/>
                    </w:rPr>
                    <w:t>-</w:t>
                  </w:r>
                  <w:r>
                    <w:rPr>
                      <w:rFonts w:hint="eastAsia"/>
                      <w:szCs w:val="21"/>
                      <w:lang w:val="en-US" w:eastAsia="zh-CN"/>
                    </w:rPr>
                    <w:t>2</w:t>
                  </w:r>
                </w:p>
              </w:tc>
              <w:tc>
                <w:tcPr>
                  <w:tcW w:w="282" w:type="pct"/>
                  <w:tcBorders>
                    <w:tl2br w:val="nil"/>
                    <w:tr2bl w:val="nil"/>
                  </w:tcBorders>
                  <w:shd w:val="clear" w:color="auto" w:fill="auto"/>
                  <w:vAlign w:val="center"/>
                </w:tcPr>
                <w:p w14:paraId="2FEECA09">
                  <w:pPr>
                    <w:pStyle w:val="38"/>
                  </w:pPr>
                  <w:r>
                    <w:t xml:space="preserve">6.0 </w:t>
                  </w:r>
                </w:p>
              </w:tc>
              <w:tc>
                <w:tcPr>
                  <w:tcW w:w="282" w:type="pct"/>
                  <w:tcBorders>
                    <w:tl2br w:val="nil"/>
                    <w:tr2bl w:val="nil"/>
                  </w:tcBorders>
                  <w:shd w:val="clear" w:color="auto" w:fill="auto"/>
                  <w:vAlign w:val="center"/>
                </w:tcPr>
                <w:p w14:paraId="7311861B">
                  <w:pPr>
                    <w:pStyle w:val="38"/>
                  </w:pPr>
                  <w:r>
                    <w:t xml:space="preserve">45.00 </w:t>
                  </w:r>
                </w:p>
              </w:tc>
              <w:tc>
                <w:tcPr>
                  <w:tcW w:w="282" w:type="pct"/>
                  <w:vMerge w:val="continue"/>
                  <w:tcBorders>
                    <w:tl2br w:val="nil"/>
                    <w:tr2bl w:val="nil"/>
                  </w:tcBorders>
                  <w:shd w:val="clear" w:color="auto" w:fill="auto"/>
                  <w:vAlign w:val="center"/>
                </w:tcPr>
                <w:p w14:paraId="2429D1F9">
                  <w:pPr>
                    <w:jc w:val="center"/>
                    <w:rPr>
                      <w:szCs w:val="21"/>
                    </w:rPr>
                  </w:pPr>
                </w:p>
              </w:tc>
              <w:tc>
                <w:tcPr>
                  <w:tcW w:w="282" w:type="pct"/>
                  <w:tcBorders>
                    <w:tl2br w:val="nil"/>
                    <w:tr2bl w:val="nil"/>
                  </w:tcBorders>
                  <w:shd w:val="clear" w:color="auto" w:fill="auto"/>
                  <w:vAlign w:val="center"/>
                </w:tcPr>
                <w:p w14:paraId="1A75A00A">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766BE2C7">
                  <w:pPr>
                    <w:pStyle w:val="38"/>
                  </w:pPr>
                  <w:r>
                    <w:t xml:space="preserve">30.00 </w:t>
                  </w:r>
                </w:p>
              </w:tc>
              <w:tc>
                <w:tcPr>
                  <w:tcW w:w="283" w:type="pct"/>
                  <w:tcBorders>
                    <w:tl2br w:val="nil"/>
                    <w:tr2bl w:val="nil"/>
                  </w:tcBorders>
                  <w:shd w:val="clear" w:color="auto" w:fill="auto"/>
                  <w:vAlign w:val="center"/>
                </w:tcPr>
                <w:p w14:paraId="2239378D">
                  <w:pPr>
                    <w:pStyle w:val="38"/>
                  </w:pPr>
                  <w:r>
                    <w:rPr>
                      <w:rFonts w:hint="eastAsia"/>
                    </w:rPr>
                    <w:t>1</w:t>
                  </w:r>
                </w:p>
              </w:tc>
            </w:tr>
            <w:tr w14:paraId="5C4821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508C7FE4">
                  <w:pPr>
                    <w:widowControl/>
                    <w:numPr>
                      <w:ilvl w:val="0"/>
                      <w:numId w:val="12"/>
                    </w:numPr>
                    <w:tabs>
                      <w:tab w:val="clear" w:pos="0"/>
                    </w:tabs>
                    <w:jc w:val="center"/>
                    <w:textAlignment w:val="center"/>
                    <w:rPr>
                      <w:szCs w:val="21"/>
                    </w:rPr>
                  </w:pPr>
                </w:p>
              </w:tc>
              <w:tc>
                <w:tcPr>
                  <w:tcW w:w="429" w:type="pct"/>
                  <w:vMerge w:val="restart"/>
                  <w:tcBorders>
                    <w:tl2br w:val="nil"/>
                    <w:tr2bl w:val="nil"/>
                  </w:tcBorders>
                  <w:shd w:val="clear" w:color="auto" w:fill="auto"/>
                  <w:vAlign w:val="center"/>
                </w:tcPr>
                <w:p w14:paraId="3A066F7C">
                  <w:pPr>
                    <w:jc w:val="center"/>
                    <w:rPr>
                      <w:szCs w:val="21"/>
                    </w:rPr>
                  </w:pPr>
                  <w:r>
                    <w:t>生物反应池</w:t>
                  </w:r>
                </w:p>
              </w:tc>
              <w:tc>
                <w:tcPr>
                  <w:tcW w:w="589" w:type="pct"/>
                  <w:tcBorders>
                    <w:tl2br w:val="nil"/>
                    <w:tr2bl w:val="nil"/>
                  </w:tcBorders>
                  <w:shd w:val="clear" w:color="auto" w:fill="auto"/>
                  <w:vAlign w:val="center"/>
                </w:tcPr>
                <w:p w14:paraId="3BF1B54B">
                  <w:pPr>
                    <w:pStyle w:val="38"/>
                  </w:pPr>
                  <w:r>
                    <w:rPr>
                      <w:rFonts w:hint="eastAsia"/>
                    </w:rPr>
                    <w:t>潜水搅拌器</w:t>
                  </w:r>
                </w:p>
              </w:tc>
              <w:tc>
                <w:tcPr>
                  <w:tcW w:w="485" w:type="pct"/>
                  <w:tcBorders>
                    <w:tl2br w:val="nil"/>
                    <w:tr2bl w:val="nil"/>
                  </w:tcBorders>
                  <w:shd w:val="clear" w:color="auto" w:fill="auto"/>
                  <w:vAlign w:val="center"/>
                </w:tcPr>
                <w:p w14:paraId="348384C8">
                  <w:pPr>
                    <w:pStyle w:val="38"/>
                    <w:rPr>
                      <w:rFonts w:hint="eastAsia" w:eastAsia="宋体"/>
                      <w:lang w:eastAsia="zh-CN"/>
                    </w:rPr>
                  </w:pPr>
                  <w:r>
                    <w:rPr>
                      <w:rFonts w:hint="eastAsia"/>
                      <w:lang w:val="en-US" w:eastAsia="zh-CN"/>
                    </w:rPr>
                    <w:t>2</w:t>
                  </w:r>
                </w:p>
              </w:tc>
              <w:tc>
                <w:tcPr>
                  <w:tcW w:w="485" w:type="pct"/>
                  <w:tcBorders>
                    <w:tl2br w:val="nil"/>
                    <w:tr2bl w:val="nil"/>
                  </w:tcBorders>
                  <w:shd w:val="clear" w:color="auto" w:fill="auto"/>
                  <w:vAlign w:val="center"/>
                </w:tcPr>
                <w:p w14:paraId="2001C6A2">
                  <w:pPr>
                    <w:pStyle w:val="38"/>
                  </w:pPr>
                  <w:r>
                    <w:t>70</w:t>
                  </w:r>
                </w:p>
              </w:tc>
              <w:tc>
                <w:tcPr>
                  <w:tcW w:w="282" w:type="pct"/>
                  <w:vMerge w:val="continue"/>
                  <w:tcBorders>
                    <w:tl2br w:val="nil"/>
                    <w:tr2bl w:val="nil"/>
                  </w:tcBorders>
                  <w:shd w:val="clear" w:color="auto" w:fill="auto"/>
                  <w:vAlign w:val="center"/>
                </w:tcPr>
                <w:p w14:paraId="6D7125F7">
                  <w:pPr>
                    <w:jc w:val="center"/>
                    <w:rPr>
                      <w:szCs w:val="21"/>
                    </w:rPr>
                  </w:pPr>
                </w:p>
              </w:tc>
              <w:tc>
                <w:tcPr>
                  <w:tcW w:w="282" w:type="pct"/>
                  <w:tcBorders>
                    <w:tl2br w:val="nil"/>
                    <w:tr2bl w:val="nil"/>
                  </w:tcBorders>
                  <w:shd w:val="clear" w:color="auto" w:fill="auto"/>
                  <w:vAlign w:val="center"/>
                </w:tcPr>
                <w:p w14:paraId="23EF5715">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30</w:t>
                  </w:r>
                </w:p>
              </w:tc>
              <w:tc>
                <w:tcPr>
                  <w:tcW w:w="282" w:type="pct"/>
                  <w:tcBorders>
                    <w:tl2br w:val="nil"/>
                    <w:tr2bl w:val="nil"/>
                  </w:tcBorders>
                  <w:shd w:val="clear" w:color="auto" w:fill="auto"/>
                  <w:vAlign w:val="center"/>
                </w:tcPr>
                <w:p w14:paraId="42C88567">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282" w:type="pct"/>
                  <w:tcBorders>
                    <w:tl2br w:val="nil"/>
                    <w:tr2bl w:val="nil"/>
                  </w:tcBorders>
                  <w:shd w:val="clear" w:color="auto" w:fill="auto"/>
                  <w:vAlign w:val="center"/>
                </w:tcPr>
                <w:p w14:paraId="6CEA2E49">
                  <w:pPr>
                    <w:jc w:val="center"/>
                    <w:rPr>
                      <w:rFonts w:hint="eastAsia" w:eastAsia="宋体"/>
                      <w:szCs w:val="21"/>
                      <w:lang w:eastAsia="zh-CN"/>
                    </w:rPr>
                  </w:pPr>
                  <w:r>
                    <w:rPr>
                      <w:rFonts w:hint="eastAsia"/>
                      <w:szCs w:val="21"/>
                      <w:lang w:val="en-US" w:eastAsia="zh-CN"/>
                    </w:rPr>
                    <w:t>1</w:t>
                  </w:r>
                </w:p>
              </w:tc>
              <w:tc>
                <w:tcPr>
                  <w:tcW w:w="282" w:type="pct"/>
                  <w:tcBorders>
                    <w:tl2br w:val="nil"/>
                    <w:tr2bl w:val="nil"/>
                  </w:tcBorders>
                  <w:shd w:val="clear" w:color="auto" w:fill="auto"/>
                  <w:vAlign w:val="center"/>
                </w:tcPr>
                <w:p w14:paraId="109BEBEA">
                  <w:pPr>
                    <w:pStyle w:val="38"/>
                  </w:pPr>
                  <w:r>
                    <w:t xml:space="preserve">8.0 </w:t>
                  </w:r>
                </w:p>
              </w:tc>
              <w:tc>
                <w:tcPr>
                  <w:tcW w:w="282" w:type="pct"/>
                  <w:tcBorders>
                    <w:tl2br w:val="nil"/>
                    <w:tr2bl w:val="nil"/>
                  </w:tcBorders>
                  <w:shd w:val="clear" w:color="auto" w:fill="auto"/>
                  <w:vAlign w:val="center"/>
                </w:tcPr>
                <w:p w14:paraId="79D37A4C">
                  <w:pPr>
                    <w:pStyle w:val="38"/>
                  </w:pPr>
                  <w:r>
                    <w:t xml:space="preserve">46.02 </w:t>
                  </w:r>
                </w:p>
              </w:tc>
              <w:tc>
                <w:tcPr>
                  <w:tcW w:w="282" w:type="pct"/>
                  <w:vMerge w:val="continue"/>
                  <w:tcBorders>
                    <w:tl2br w:val="nil"/>
                    <w:tr2bl w:val="nil"/>
                  </w:tcBorders>
                  <w:shd w:val="clear" w:color="auto" w:fill="auto"/>
                  <w:vAlign w:val="center"/>
                </w:tcPr>
                <w:p w14:paraId="6A4FB5A0">
                  <w:pPr>
                    <w:jc w:val="center"/>
                    <w:rPr>
                      <w:szCs w:val="21"/>
                    </w:rPr>
                  </w:pPr>
                </w:p>
              </w:tc>
              <w:tc>
                <w:tcPr>
                  <w:tcW w:w="282" w:type="pct"/>
                  <w:tcBorders>
                    <w:tl2br w:val="nil"/>
                    <w:tr2bl w:val="nil"/>
                  </w:tcBorders>
                  <w:shd w:val="clear" w:color="auto" w:fill="auto"/>
                  <w:vAlign w:val="center"/>
                </w:tcPr>
                <w:p w14:paraId="0738C92A">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193C3EC5">
                  <w:pPr>
                    <w:pStyle w:val="38"/>
                  </w:pPr>
                  <w:r>
                    <w:t xml:space="preserve">31.02 </w:t>
                  </w:r>
                </w:p>
              </w:tc>
              <w:tc>
                <w:tcPr>
                  <w:tcW w:w="283" w:type="pct"/>
                  <w:tcBorders>
                    <w:tl2br w:val="nil"/>
                    <w:tr2bl w:val="nil"/>
                  </w:tcBorders>
                  <w:shd w:val="clear" w:color="auto" w:fill="auto"/>
                  <w:vAlign w:val="center"/>
                </w:tcPr>
                <w:p w14:paraId="2958CD7A">
                  <w:pPr>
                    <w:pStyle w:val="38"/>
                  </w:pPr>
                  <w:r>
                    <w:rPr>
                      <w:rFonts w:hint="eastAsia"/>
                    </w:rPr>
                    <w:t>1</w:t>
                  </w:r>
                </w:p>
              </w:tc>
            </w:tr>
            <w:tr w14:paraId="765DCF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41545734">
                  <w:pPr>
                    <w:widowControl/>
                    <w:numPr>
                      <w:ilvl w:val="0"/>
                      <w:numId w:val="12"/>
                    </w:numPr>
                    <w:tabs>
                      <w:tab w:val="clear" w:pos="0"/>
                    </w:tabs>
                    <w:jc w:val="center"/>
                    <w:textAlignment w:val="center"/>
                    <w:rPr>
                      <w:szCs w:val="21"/>
                    </w:rPr>
                  </w:pPr>
                </w:p>
              </w:tc>
              <w:tc>
                <w:tcPr>
                  <w:tcW w:w="429" w:type="pct"/>
                  <w:vMerge w:val="continue"/>
                  <w:tcBorders>
                    <w:tl2br w:val="nil"/>
                    <w:tr2bl w:val="nil"/>
                  </w:tcBorders>
                  <w:shd w:val="clear" w:color="auto" w:fill="auto"/>
                  <w:vAlign w:val="center"/>
                </w:tcPr>
                <w:p w14:paraId="07ABD6F6">
                  <w:pPr>
                    <w:jc w:val="center"/>
                    <w:rPr>
                      <w:szCs w:val="21"/>
                    </w:rPr>
                  </w:pPr>
                </w:p>
              </w:tc>
              <w:tc>
                <w:tcPr>
                  <w:tcW w:w="589" w:type="pct"/>
                  <w:tcBorders>
                    <w:tl2br w:val="nil"/>
                    <w:tr2bl w:val="nil"/>
                  </w:tcBorders>
                  <w:shd w:val="clear" w:color="auto" w:fill="auto"/>
                  <w:vAlign w:val="center"/>
                </w:tcPr>
                <w:p w14:paraId="38989D8F">
                  <w:pPr>
                    <w:pStyle w:val="38"/>
                  </w:pPr>
                  <w:r>
                    <w:rPr>
                      <w:rFonts w:hint="eastAsia"/>
                    </w:rPr>
                    <w:t>回流泵</w:t>
                  </w:r>
                </w:p>
              </w:tc>
              <w:tc>
                <w:tcPr>
                  <w:tcW w:w="485" w:type="pct"/>
                  <w:tcBorders>
                    <w:tl2br w:val="nil"/>
                    <w:tr2bl w:val="nil"/>
                  </w:tcBorders>
                  <w:shd w:val="clear" w:color="auto" w:fill="auto"/>
                  <w:vAlign w:val="center"/>
                </w:tcPr>
                <w:p w14:paraId="17E16CBD">
                  <w:pPr>
                    <w:pStyle w:val="38"/>
                    <w:rPr>
                      <w:rFonts w:hint="eastAsia" w:eastAsia="宋体"/>
                      <w:lang w:eastAsia="zh-CN"/>
                    </w:rPr>
                  </w:pPr>
                  <w:r>
                    <w:rPr>
                      <w:rFonts w:hint="eastAsia"/>
                      <w:lang w:val="en-US" w:eastAsia="zh-CN"/>
                    </w:rPr>
                    <w:t>2</w:t>
                  </w:r>
                </w:p>
              </w:tc>
              <w:tc>
                <w:tcPr>
                  <w:tcW w:w="485" w:type="pct"/>
                  <w:tcBorders>
                    <w:tl2br w:val="nil"/>
                    <w:tr2bl w:val="nil"/>
                  </w:tcBorders>
                  <w:shd w:val="clear" w:color="auto" w:fill="auto"/>
                  <w:vAlign w:val="center"/>
                </w:tcPr>
                <w:p w14:paraId="285B9C10">
                  <w:pPr>
                    <w:pStyle w:val="38"/>
                  </w:pPr>
                  <w:r>
                    <w:t>70</w:t>
                  </w:r>
                </w:p>
              </w:tc>
              <w:tc>
                <w:tcPr>
                  <w:tcW w:w="282" w:type="pct"/>
                  <w:vMerge w:val="continue"/>
                  <w:tcBorders>
                    <w:tl2br w:val="nil"/>
                    <w:tr2bl w:val="nil"/>
                  </w:tcBorders>
                  <w:shd w:val="clear" w:color="auto" w:fill="auto"/>
                  <w:vAlign w:val="center"/>
                </w:tcPr>
                <w:p w14:paraId="454852CB">
                  <w:pPr>
                    <w:jc w:val="center"/>
                    <w:rPr>
                      <w:szCs w:val="21"/>
                    </w:rPr>
                  </w:pPr>
                </w:p>
              </w:tc>
              <w:tc>
                <w:tcPr>
                  <w:tcW w:w="282" w:type="pct"/>
                  <w:tcBorders>
                    <w:tl2br w:val="nil"/>
                    <w:tr2bl w:val="nil"/>
                  </w:tcBorders>
                  <w:shd w:val="clear" w:color="auto" w:fill="auto"/>
                  <w:vAlign w:val="center"/>
                </w:tcPr>
                <w:p w14:paraId="2B189D63">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25</w:t>
                  </w:r>
                </w:p>
              </w:tc>
              <w:tc>
                <w:tcPr>
                  <w:tcW w:w="282" w:type="pct"/>
                  <w:tcBorders>
                    <w:tl2br w:val="nil"/>
                    <w:tr2bl w:val="nil"/>
                  </w:tcBorders>
                  <w:shd w:val="clear" w:color="auto" w:fill="auto"/>
                  <w:vAlign w:val="center"/>
                </w:tcPr>
                <w:p w14:paraId="50BBF097">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282" w:type="pct"/>
                  <w:tcBorders>
                    <w:tl2br w:val="nil"/>
                    <w:tr2bl w:val="nil"/>
                  </w:tcBorders>
                  <w:shd w:val="clear" w:color="auto" w:fill="auto"/>
                  <w:vAlign w:val="center"/>
                </w:tcPr>
                <w:p w14:paraId="69B2A087">
                  <w:pPr>
                    <w:pStyle w:val="38"/>
                    <w:bidi w:val="0"/>
                  </w:pPr>
                  <w:r>
                    <w:rPr>
                      <w:rFonts w:hint="eastAsia"/>
                      <w:lang w:val="en-US" w:eastAsia="zh-CN"/>
                    </w:rPr>
                    <w:t>1</w:t>
                  </w:r>
                </w:p>
              </w:tc>
              <w:tc>
                <w:tcPr>
                  <w:tcW w:w="282" w:type="pct"/>
                  <w:tcBorders>
                    <w:tl2br w:val="nil"/>
                    <w:tr2bl w:val="nil"/>
                  </w:tcBorders>
                  <w:shd w:val="clear" w:color="auto" w:fill="auto"/>
                  <w:vAlign w:val="center"/>
                </w:tcPr>
                <w:p w14:paraId="44FF4F3A">
                  <w:pPr>
                    <w:pStyle w:val="38"/>
                  </w:pPr>
                  <w:r>
                    <w:t xml:space="preserve">8.0 </w:t>
                  </w:r>
                </w:p>
              </w:tc>
              <w:tc>
                <w:tcPr>
                  <w:tcW w:w="282" w:type="pct"/>
                  <w:tcBorders>
                    <w:tl2br w:val="nil"/>
                    <w:tr2bl w:val="nil"/>
                  </w:tcBorders>
                  <w:shd w:val="clear" w:color="auto" w:fill="auto"/>
                  <w:vAlign w:val="center"/>
                </w:tcPr>
                <w:p w14:paraId="42A01833">
                  <w:pPr>
                    <w:pStyle w:val="38"/>
                  </w:pPr>
                  <w:r>
                    <w:t xml:space="preserve">60.46 </w:t>
                  </w:r>
                </w:p>
              </w:tc>
              <w:tc>
                <w:tcPr>
                  <w:tcW w:w="282" w:type="pct"/>
                  <w:vMerge w:val="continue"/>
                  <w:tcBorders>
                    <w:tl2br w:val="nil"/>
                    <w:tr2bl w:val="nil"/>
                  </w:tcBorders>
                  <w:shd w:val="clear" w:color="auto" w:fill="auto"/>
                  <w:vAlign w:val="center"/>
                </w:tcPr>
                <w:p w14:paraId="7D6BC5D9">
                  <w:pPr>
                    <w:jc w:val="center"/>
                    <w:rPr>
                      <w:szCs w:val="21"/>
                    </w:rPr>
                  </w:pPr>
                </w:p>
              </w:tc>
              <w:tc>
                <w:tcPr>
                  <w:tcW w:w="282" w:type="pct"/>
                  <w:tcBorders>
                    <w:tl2br w:val="nil"/>
                    <w:tr2bl w:val="nil"/>
                  </w:tcBorders>
                  <w:shd w:val="clear" w:color="auto" w:fill="auto"/>
                  <w:vAlign w:val="center"/>
                </w:tcPr>
                <w:p w14:paraId="4BE9E63D">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0CBC003A">
                  <w:pPr>
                    <w:pStyle w:val="38"/>
                  </w:pPr>
                  <w:r>
                    <w:t xml:space="preserve">45.46 </w:t>
                  </w:r>
                </w:p>
              </w:tc>
              <w:tc>
                <w:tcPr>
                  <w:tcW w:w="283" w:type="pct"/>
                  <w:tcBorders>
                    <w:tl2br w:val="nil"/>
                    <w:tr2bl w:val="nil"/>
                  </w:tcBorders>
                  <w:shd w:val="clear" w:color="auto" w:fill="auto"/>
                  <w:vAlign w:val="center"/>
                </w:tcPr>
                <w:p w14:paraId="1A791DA2">
                  <w:pPr>
                    <w:pStyle w:val="38"/>
                  </w:pPr>
                  <w:r>
                    <w:rPr>
                      <w:rFonts w:hint="eastAsia"/>
                    </w:rPr>
                    <w:t>1</w:t>
                  </w:r>
                </w:p>
              </w:tc>
            </w:tr>
            <w:tr w14:paraId="4F4AE5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6CE5F150">
                  <w:pPr>
                    <w:widowControl/>
                    <w:numPr>
                      <w:ilvl w:val="0"/>
                      <w:numId w:val="12"/>
                    </w:numPr>
                    <w:tabs>
                      <w:tab w:val="clear" w:pos="0"/>
                    </w:tabs>
                    <w:jc w:val="center"/>
                    <w:textAlignment w:val="center"/>
                    <w:rPr>
                      <w:szCs w:val="21"/>
                    </w:rPr>
                  </w:pPr>
                </w:p>
              </w:tc>
              <w:tc>
                <w:tcPr>
                  <w:tcW w:w="429" w:type="pct"/>
                  <w:vMerge w:val="restart"/>
                  <w:tcBorders>
                    <w:tl2br w:val="nil"/>
                    <w:tr2bl w:val="nil"/>
                  </w:tcBorders>
                  <w:shd w:val="clear" w:color="auto" w:fill="auto"/>
                  <w:vAlign w:val="center"/>
                </w:tcPr>
                <w:p w14:paraId="40444DCD">
                  <w:pPr>
                    <w:jc w:val="center"/>
                    <w:rPr>
                      <w:szCs w:val="21"/>
                    </w:rPr>
                  </w:pPr>
                  <w:r>
                    <w:t>MBR膜池</w:t>
                  </w:r>
                </w:p>
              </w:tc>
              <w:tc>
                <w:tcPr>
                  <w:tcW w:w="589" w:type="pct"/>
                  <w:tcBorders>
                    <w:tl2br w:val="nil"/>
                    <w:tr2bl w:val="nil"/>
                  </w:tcBorders>
                  <w:shd w:val="clear" w:color="auto" w:fill="auto"/>
                  <w:vAlign w:val="center"/>
                </w:tcPr>
                <w:p w14:paraId="54A2391C">
                  <w:pPr>
                    <w:pStyle w:val="38"/>
                  </w:pPr>
                  <w:r>
                    <w:rPr>
                      <w:rFonts w:hint="eastAsia"/>
                    </w:rPr>
                    <w:t>膜池回流泵</w:t>
                  </w:r>
                </w:p>
              </w:tc>
              <w:tc>
                <w:tcPr>
                  <w:tcW w:w="485" w:type="pct"/>
                  <w:tcBorders>
                    <w:tl2br w:val="nil"/>
                    <w:tr2bl w:val="nil"/>
                  </w:tcBorders>
                  <w:shd w:val="clear" w:color="auto" w:fill="auto"/>
                  <w:vAlign w:val="center"/>
                </w:tcPr>
                <w:p w14:paraId="41A22584">
                  <w:pPr>
                    <w:pStyle w:val="38"/>
                    <w:rPr>
                      <w:rFonts w:hint="eastAsia" w:eastAsia="宋体"/>
                      <w:lang w:eastAsia="zh-CN"/>
                    </w:rPr>
                  </w:pPr>
                  <w:r>
                    <w:rPr>
                      <w:rFonts w:hint="eastAsia"/>
                      <w:lang w:val="en-US" w:eastAsia="zh-CN"/>
                    </w:rPr>
                    <w:t>2</w:t>
                  </w:r>
                </w:p>
              </w:tc>
              <w:tc>
                <w:tcPr>
                  <w:tcW w:w="485" w:type="pct"/>
                  <w:tcBorders>
                    <w:tl2br w:val="nil"/>
                    <w:tr2bl w:val="nil"/>
                  </w:tcBorders>
                  <w:shd w:val="clear" w:color="auto" w:fill="auto"/>
                  <w:vAlign w:val="center"/>
                </w:tcPr>
                <w:p w14:paraId="630F1C9F">
                  <w:pPr>
                    <w:pStyle w:val="38"/>
                  </w:pPr>
                  <w:r>
                    <w:t>80</w:t>
                  </w:r>
                </w:p>
              </w:tc>
              <w:tc>
                <w:tcPr>
                  <w:tcW w:w="282" w:type="pct"/>
                  <w:vMerge w:val="continue"/>
                  <w:tcBorders>
                    <w:tl2br w:val="nil"/>
                    <w:tr2bl w:val="nil"/>
                  </w:tcBorders>
                  <w:shd w:val="clear" w:color="auto" w:fill="auto"/>
                  <w:vAlign w:val="center"/>
                </w:tcPr>
                <w:p w14:paraId="75C73E65">
                  <w:pPr>
                    <w:jc w:val="center"/>
                    <w:rPr>
                      <w:szCs w:val="21"/>
                    </w:rPr>
                  </w:pPr>
                </w:p>
              </w:tc>
              <w:tc>
                <w:tcPr>
                  <w:tcW w:w="282" w:type="pct"/>
                  <w:tcBorders>
                    <w:tl2br w:val="nil"/>
                    <w:tr2bl w:val="nil"/>
                  </w:tcBorders>
                  <w:shd w:val="clear" w:color="auto" w:fill="auto"/>
                  <w:vAlign w:val="center"/>
                </w:tcPr>
                <w:p w14:paraId="62707F1A">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282" w:type="pct"/>
                  <w:tcBorders>
                    <w:tl2br w:val="nil"/>
                    <w:tr2bl w:val="nil"/>
                  </w:tcBorders>
                  <w:shd w:val="clear" w:color="auto" w:fill="auto"/>
                  <w:vAlign w:val="center"/>
                </w:tcPr>
                <w:p w14:paraId="7E939F75">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282" w:type="pct"/>
                  <w:tcBorders>
                    <w:tl2br w:val="nil"/>
                    <w:tr2bl w:val="nil"/>
                  </w:tcBorders>
                  <w:shd w:val="clear" w:color="auto" w:fill="auto"/>
                  <w:vAlign w:val="center"/>
                </w:tcPr>
                <w:p w14:paraId="24BC2DF5">
                  <w:pPr>
                    <w:pStyle w:val="38"/>
                    <w:bidi w:val="0"/>
                  </w:pPr>
                  <w:r>
                    <w:rPr>
                      <w:rFonts w:hint="eastAsia"/>
                      <w:lang w:val="en-US" w:eastAsia="zh-CN"/>
                    </w:rPr>
                    <w:t>1</w:t>
                  </w:r>
                </w:p>
              </w:tc>
              <w:tc>
                <w:tcPr>
                  <w:tcW w:w="282" w:type="pct"/>
                  <w:tcBorders>
                    <w:tl2br w:val="nil"/>
                    <w:tr2bl w:val="nil"/>
                  </w:tcBorders>
                  <w:shd w:val="clear" w:color="auto" w:fill="auto"/>
                  <w:vAlign w:val="center"/>
                </w:tcPr>
                <w:p w14:paraId="4A031CCA">
                  <w:pPr>
                    <w:pStyle w:val="38"/>
                  </w:pPr>
                  <w:r>
                    <w:t xml:space="preserve">15.0 </w:t>
                  </w:r>
                </w:p>
              </w:tc>
              <w:tc>
                <w:tcPr>
                  <w:tcW w:w="282" w:type="pct"/>
                  <w:tcBorders>
                    <w:tl2br w:val="nil"/>
                    <w:tr2bl w:val="nil"/>
                  </w:tcBorders>
                  <w:shd w:val="clear" w:color="auto" w:fill="auto"/>
                  <w:vAlign w:val="center"/>
                </w:tcPr>
                <w:p w14:paraId="486CF0C5">
                  <w:pPr>
                    <w:pStyle w:val="38"/>
                  </w:pPr>
                  <w:r>
                    <w:t xml:space="preserve">50.97 </w:t>
                  </w:r>
                </w:p>
              </w:tc>
              <w:tc>
                <w:tcPr>
                  <w:tcW w:w="282" w:type="pct"/>
                  <w:vMerge w:val="continue"/>
                  <w:tcBorders>
                    <w:tl2br w:val="nil"/>
                    <w:tr2bl w:val="nil"/>
                  </w:tcBorders>
                  <w:shd w:val="clear" w:color="auto" w:fill="auto"/>
                  <w:vAlign w:val="center"/>
                </w:tcPr>
                <w:p w14:paraId="472E541C">
                  <w:pPr>
                    <w:jc w:val="center"/>
                    <w:rPr>
                      <w:szCs w:val="21"/>
                    </w:rPr>
                  </w:pPr>
                </w:p>
              </w:tc>
              <w:tc>
                <w:tcPr>
                  <w:tcW w:w="282" w:type="pct"/>
                  <w:tcBorders>
                    <w:tl2br w:val="nil"/>
                    <w:tr2bl w:val="nil"/>
                  </w:tcBorders>
                  <w:shd w:val="clear" w:color="auto" w:fill="auto"/>
                  <w:vAlign w:val="center"/>
                </w:tcPr>
                <w:p w14:paraId="572D294E">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5B2A1BAE">
                  <w:pPr>
                    <w:pStyle w:val="38"/>
                  </w:pPr>
                  <w:r>
                    <w:t xml:space="preserve">35.97 </w:t>
                  </w:r>
                </w:p>
              </w:tc>
              <w:tc>
                <w:tcPr>
                  <w:tcW w:w="283" w:type="pct"/>
                  <w:tcBorders>
                    <w:tl2br w:val="nil"/>
                    <w:tr2bl w:val="nil"/>
                  </w:tcBorders>
                  <w:shd w:val="clear" w:color="auto" w:fill="auto"/>
                  <w:vAlign w:val="center"/>
                </w:tcPr>
                <w:p w14:paraId="14418B39">
                  <w:pPr>
                    <w:pStyle w:val="38"/>
                  </w:pPr>
                  <w:r>
                    <w:rPr>
                      <w:rFonts w:hint="eastAsia"/>
                    </w:rPr>
                    <w:t>1</w:t>
                  </w:r>
                </w:p>
              </w:tc>
            </w:tr>
            <w:tr w14:paraId="3D4A3E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548E327A">
                  <w:pPr>
                    <w:widowControl/>
                    <w:numPr>
                      <w:ilvl w:val="0"/>
                      <w:numId w:val="12"/>
                    </w:numPr>
                    <w:tabs>
                      <w:tab w:val="clear" w:pos="0"/>
                    </w:tabs>
                    <w:jc w:val="center"/>
                    <w:textAlignment w:val="center"/>
                    <w:rPr>
                      <w:szCs w:val="21"/>
                    </w:rPr>
                  </w:pPr>
                </w:p>
              </w:tc>
              <w:tc>
                <w:tcPr>
                  <w:tcW w:w="429" w:type="pct"/>
                  <w:vMerge w:val="continue"/>
                  <w:tcBorders>
                    <w:tl2br w:val="nil"/>
                    <w:tr2bl w:val="nil"/>
                  </w:tcBorders>
                  <w:shd w:val="clear" w:color="auto" w:fill="auto"/>
                  <w:vAlign w:val="center"/>
                </w:tcPr>
                <w:p w14:paraId="4D3C835C">
                  <w:pPr>
                    <w:jc w:val="center"/>
                    <w:rPr>
                      <w:szCs w:val="21"/>
                    </w:rPr>
                  </w:pPr>
                </w:p>
              </w:tc>
              <w:tc>
                <w:tcPr>
                  <w:tcW w:w="589" w:type="pct"/>
                  <w:tcBorders>
                    <w:tl2br w:val="nil"/>
                    <w:tr2bl w:val="nil"/>
                  </w:tcBorders>
                  <w:shd w:val="clear" w:color="auto" w:fill="auto"/>
                  <w:vAlign w:val="center"/>
                </w:tcPr>
                <w:p w14:paraId="066DBA90">
                  <w:pPr>
                    <w:pStyle w:val="38"/>
                  </w:pPr>
                  <w:r>
                    <w:t>产水泵</w:t>
                  </w:r>
                </w:p>
              </w:tc>
              <w:tc>
                <w:tcPr>
                  <w:tcW w:w="485" w:type="pct"/>
                  <w:tcBorders>
                    <w:tl2br w:val="nil"/>
                    <w:tr2bl w:val="nil"/>
                  </w:tcBorders>
                  <w:shd w:val="clear" w:color="auto" w:fill="auto"/>
                  <w:vAlign w:val="center"/>
                </w:tcPr>
                <w:p w14:paraId="749E010F">
                  <w:pPr>
                    <w:pStyle w:val="38"/>
                    <w:bidi w:val="0"/>
                  </w:pPr>
                  <w:r>
                    <w:rPr>
                      <w:rFonts w:hint="eastAsia"/>
                      <w:lang w:val="en-US" w:eastAsia="zh-CN"/>
                    </w:rPr>
                    <w:t>2</w:t>
                  </w:r>
                </w:p>
              </w:tc>
              <w:tc>
                <w:tcPr>
                  <w:tcW w:w="485" w:type="pct"/>
                  <w:tcBorders>
                    <w:tl2br w:val="nil"/>
                    <w:tr2bl w:val="nil"/>
                  </w:tcBorders>
                  <w:shd w:val="clear" w:color="auto" w:fill="auto"/>
                  <w:vAlign w:val="center"/>
                </w:tcPr>
                <w:p w14:paraId="7B0AAA93">
                  <w:pPr>
                    <w:pStyle w:val="38"/>
                  </w:pPr>
                  <w:r>
                    <w:t>80</w:t>
                  </w:r>
                </w:p>
              </w:tc>
              <w:tc>
                <w:tcPr>
                  <w:tcW w:w="282" w:type="pct"/>
                  <w:vMerge w:val="continue"/>
                  <w:tcBorders>
                    <w:tl2br w:val="nil"/>
                    <w:tr2bl w:val="nil"/>
                  </w:tcBorders>
                  <w:shd w:val="clear" w:color="auto" w:fill="auto"/>
                  <w:vAlign w:val="center"/>
                </w:tcPr>
                <w:p w14:paraId="4829BC41">
                  <w:pPr>
                    <w:jc w:val="center"/>
                    <w:rPr>
                      <w:szCs w:val="21"/>
                    </w:rPr>
                  </w:pPr>
                </w:p>
              </w:tc>
              <w:tc>
                <w:tcPr>
                  <w:tcW w:w="282" w:type="pct"/>
                  <w:tcBorders>
                    <w:tl2br w:val="nil"/>
                    <w:tr2bl w:val="nil"/>
                  </w:tcBorders>
                  <w:shd w:val="clear" w:color="auto" w:fill="auto"/>
                  <w:vAlign w:val="center"/>
                </w:tcPr>
                <w:p w14:paraId="3258B809">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282" w:type="pct"/>
                  <w:tcBorders>
                    <w:tl2br w:val="nil"/>
                    <w:tr2bl w:val="nil"/>
                  </w:tcBorders>
                  <w:shd w:val="clear" w:color="auto" w:fill="auto"/>
                  <w:vAlign w:val="center"/>
                </w:tcPr>
                <w:p w14:paraId="10F14C3F">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282" w:type="pct"/>
                  <w:tcBorders>
                    <w:tl2br w:val="nil"/>
                    <w:tr2bl w:val="nil"/>
                  </w:tcBorders>
                  <w:shd w:val="clear" w:color="auto" w:fill="auto"/>
                  <w:vAlign w:val="center"/>
                </w:tcPr>
                <w:p w14:paraId="376BD9D1">
                  <w:pPr>
                    <w:pStyle w:val="38"/>
                    <w:bidi w:val="0"/>
                  </w:pPr>
                  <w:r>
                    <w:rPr>
                      <w:rFonts w:hint="eastAsia"/>
                      <w:lang w:val="en-US" w:eastAsia="zh-CN"/>
                    </w:rPr>
                    <w:t>1</w:t>
                  </w:r>
                </w:p>
              </w:tc>
              <w:tc>
                <w:tcPr>
                  <w:tcW w:w="282" w:type="pct"/>
                  <w:tcBorders>
                    <w:tl2br w:val="nil"/>
                    <w:tr2bl w:val="nil"/>
                  </w:tcBorders>
                  <w:shd w:val="clear" w:color="auto" w:fill="auto"/>
                  <w:vAlign w:val="center"/>
                </w:tcPr>
                <w:p w14:paraId="6024BBCD">
                  <w:pPr>
                    <w:pStyle w:val="38"/>
                  </w:pPr>
                  <w:r>
                    <w:t xml:space="preserve">15.0 </w:t>
                  </w:r>
                </w:p>
              </w:tc>
              <w:tc>
                <w:tcPr>
                  <w:tcW w:w="282" w:type="pct"/>
                  <w:tcBorders>
                    <w:tl2br w:val="nil"/>
                    <w:tr2bl w:val="nil"/>
                  </w:tcBorders>
                  <w:shd w:val="clear" w:color="auto" w:fill="auto"/>
                  <w:vAlign w:val="center"/>
                </w:tcPr>
                <w:p w14:paraId="428E37AA">
                  <w:pPr>
                    <w:pStyle w:val="38"/>
                  </w:pPr>
                  <w:r>
                    <w:t xml:space="preserve">47.96 </w:t>
                  </w:r>
                </w:p>
              </w:tc>
              <w:tc>
                <w:tcPr>
                  <w:tcW w:w="282" w:type="pct"/>
                  <w:vMerge w:val="continue"/>
                  <w:tcBorders>
                    <w:tl2br w:val="nil"/>
                    <w:tr2bl w:val="nil"/>
                  </w:tcBorders>
                  <w:shd w:val="clear" w:color="auto" w:fill="auto"/>
                  <w:vAlign w:val="center"/>
                </w:tcPr>
                <w:p w14:paraId="76078D2B">
                  <w:pPr>
                    <w:jc w:val="center"/>
                    <w:rPr>
                      <w:szCs w:val="21"/>
                    </w:rPr>
                  </w:pPr>
                </w:p>
              </w:tc>
              <w:tc>
                <w:tcPr>
                  <w:tcW w:w="282" w:type="pct"/>
                  <w:tcBorders>
                    <w:tl2br w:val="nil"/>
                    <w:tr2bl w:val="nil"/>
                  </w:tcBorders>
                  <w:shd w:val="clear" w:color="auto" w:fill="auto"/>
                  <w:vAlign w:val="center"/>
                </w:tcPr>
                <w:p w14:paraId="355AAAEC">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37D4331C">
                  <w:pPr>
                    <w:pStyle w:val="38"/>
                  </w:pPr>
                  <w:r>
                    <w:t xml:space="preserve">32.96 </w:t>
                  </w:r>
                </w:p>
              </w:tc>
              <w:tc>
                <w:tcPr>
                  <w:tcW w:w="283" w:type="pct"/>
                  <w:tcBorders>
                    <w:tl2br w:val="nil"/>
                    <w:tr2bl w:val="nil"/>
                  </w:tcBorders>
                  <w:shd w:val="clear" w:color="auto" w:fill="auto"/>
                  <w:vAlign w:val="center"/>
                </w:tcPr>
                <w:p w14:paraId="425D74B2">
                  <w:pPr>
                    <w:pStyle w:val="38"/>
                  </w:pPr>
                  <w:r>
                    <w:rPr>
                      <w:rFonts w:hint="eastAsia"/>
                    </w:rPr>
                    <w:t>1</w:t>
                  </w:r>
                </w:p>
              </w:tc>
            </w:tr>
            <w:tr w14:paraId="2B4F89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48B3084E">
                  <w:pPr>
                    <w:widowControl/>
                    <w:numPr>
                      <w:ilvl w:val="0"/>
                      <w:numId w:val="12"/>
                    </w:numPr>
                    <w:tabs>
                      <w:tab w:val="clear" w:pos="0"/>
                    </w:tabs>
                    <w:jc w:val="center"/>
                    <w:textAlignment w:val="center"/>
                    <w:rPr>
                      <w:szCs w:val="21"/>
                    </w:rPr>
                  </w:pPr>
                </w:p>
              </w:tc>
              <w:tc>
                <w:tcPr>
                  <w:tcW w:w="429" w:type="pct"/>
                  <w:vMerge w:val="continue"/>
                  <w:tcBorders>
                    <w:tl2br w:val="nil"/>
                    <w:tr2bl w:val="nil"/>
                  </w:tcBorders>
                  <w:shd w:val="clear" w:color="auto" w:fill="auto"/>
                  <w:vAlign w:val="center"/>
                </w:tcPr>
                <w:p w14:paraId="7BF9736F">
                  <w:pPr>
                    <w:jc w:val="center"/>
                    <w:rPr>
                      <w:szCs w:val="21"/>
                    </w:rPr>
                  </w:pPr>
                </w:p>
              </w:tc>
              <w:tc>
                <w:tcPr>
                  <w:tcW w:w="589" w:type="pct"/>
                  <w:tcBorders>
                    <w:tl2br w:val="nil"/>
                    <w:tr2bl w:val="nil"/>
                  </w:tcBorders>
                  <w:shd w:val="clear" w:color="auto" w:fill="auto"/>
                  <w:vAlign w:val="center"/>
                </w:tcPr>
                <w:p w14:paraId="2EE5BC11">
                  <w:pPr>
                    <w:pStyle w:val="38"/>
                  </w:pPr>
                  <w:r>
                    <w:t>反洗泵</w:t>
                  </w:r>
                </w:p>
              </w:tc>
              <w:tc>
                <w:tcPr>
                  <w:tcW w:w="485" w:type="pct"/>
                  <w:tcBorders>
                    <w:tl2br w:val="nil"/>
                    <w:tr2bl w:val="nil"/>
                  </w:tcBorders>
                  <w:shd w:val="clear" w:color="auto" w:fill="auto"/>
                  <w:vAlign w:val="center"/>
                </w:tcPr>
                <w:p w14:paraId="527D7061">
                  <w:pPr>
                    <w:pStyle w:val="38"/>
                    <w:bidi w:val="0"/>
                  </w:pPr>
                  <w:r>
                    <w:rPr>
                      <w:rFonts w:hint="eastAsia"/>
                      <w:lang w:val="en-US" w:eastAsia="zh-CN"/>
                    </w:rPr>
                    <w:t>2</w:t>
                  </w:r>
                </w:p>
              </w:tc>
              <w:tc>
                <w:tcPr>
                  <w:tcW w:w="485" w:type="pct"/>
                  <w:tcBorders>
                    <w:tl2br w:val="nil"/>
                    <w:tr2bl w:val="nil"/>
                  </w:tcBorders>
                  <w:shd w:val="clear" w:color="auto" w:fill="auto"/>
                  <w:vAlign w:val="center"/>
                </w:tcPr>
                <w:p w14:paraId="1E9BE9AC">
                  <w:pPr>
                    <w:pStyle w:val="38"/>
                  </w:pPr>
                  <w:r>
                    <w:t>75</w:t>
                  </w:r>
                </w:p>
              </w:tc>
              <w:tc>
                <w:tcPr>
                  <w:tcW w:w="282" w:type="pct"/>
                  <w:vMerge w:val="continue"/>
                  <w:tcBorders>
                    <w:tl2br w:val="nil"/>
                    <w:tr2bl w:val="nil"/>
                  </w:tcBorders>
                  <w:shd w:val="clear" w:color="auto" w:fill="auto"/>
                  <w:vAlign w:val="center"/>
                </w:tcPr>
                <w:p w14:paraId="2FDB1B90">
                  <w:pPr>
                    <w:jc w:val="center"/>
                    <w:rPr>
                      <w:szCs w:val="21"/>
                    </w:rPr>
                  </w:pPr>
                </w:p>
              </w:tc>
              <w:tc>
                <w:tcPr>
                  <w:tcW w:w="282" w:type="pct"/>
                  <w:tcBorders>
                    <w:tl2br w:val="nil"/>
                    <w:tr2bl w:val="nil"/>
                  </w:tcBorders>
                  <w:shd w:val="clear" w:color="auto" w:fill="auto"/>
                  <w:vAlign w:val="center"/>
                </w:tcPr>
                <w:p w14:paraId="729FA03A">
                  <w:pPr>
                    <w:jc w:val="center"/>
                    <w:rPr>
                      <w:szCs w:val="21"/>
                    </w:rPr>
                  </w:pPr>
                  <w:r>
                    <w:rPr>
                      <w:rFonts w:hint="eastAsia"/>
                      <w:szCs w:val="21"/>
                    </w:rPr>
                    <w:t>5</w:t>
                  </w:r>
                </w:p>
              </w:tc>
              <w:tc>
                <w:tcPr>
                  <w:tcW w:w="282" w:type="pct"/>
                  <w:tcBorders>
                    <w:tl2br w:val="nil"/>
                    <w:tr2bl w:val="nil"/>
                  </w:tcBorders>
                  <w:shd w:val="clear" w:color="auto" w:fill="auto"/>
                  <w:vAlign w:val="center"/>
                </w:tcPr>
                <w:p w14:paraId="2D4EF0E7">
                  <w:pPr>
                    <w:jc w:val="center"/>
                    <w:rPr>
                      <w:szCs w:val="21"/>
                    </w:rPr>
                  </w:pPr>
                  <w:r>
                    <w:rPr>
                      <w:rFonts w:hint="eastAsia"/>
                      <w:szCs w:val="21"/>
                    </w:rPr>
                    <w:t>-5</w:t>
                  </w:r>
                </w:p>
              </w:tc>
              <w:tc>
                <w:tcPr>
                  <w:tcW w:w="282" w:type="pct"/>
                  <w:tcBorders>
                    <w:tl2br w:val="nil"/>
                    <w:tr2bl w:val="nil"/>
                  </w:tcBorders>
                  <w:shd w:val="clear" w:color="auto" w:fill="auto"/>
                  <w:vAlign w:val="center"/>
                </w:tcPr>
                <w:p w14:paraId="1C3AB31C">
                  <w:pPr>
                    <w:pStyle w:val="38"/>
                    <w:bidi w:val="0"/>
                  </w:pPr>
                  <w:r>
                    <w:rPr>
                      <w:rFonts w:hint="eastAsia"/>
                      <w:lang w:val="en-US" w:eastAsia="zh-CN"/>
                    </w:rPr>
                    <w:t>1</w:t>
                  </w:r>
                </w:p>
              </w:tc>
              <w:tc>
                <w:tcPr>
                  <w:tcW w:w="282" w:type="pct"/>
                  <w:tcBorders>
                    <w:tl2br w:val="nil"/>
                    <w:tr2bl w:val="nil"/>
                  </w:tcBorders>
                  <w:shd w:val="clear" w:color="auto" w:fill="auto"/>
                  <w:vAlign w:val="center"/>
                </w:tcPr>
                <w:p w14:paraId="6E51FA28">
                  <w:pPr>
                    <w:pStyle w:val="38"/>
                  </w:pPr>
                  <w:r>
                    <w:t xml:space="preserve">10.0 </w:t>
                  </w:r>
                </w:p>
              </w:tc>
              <w:tc>
                <w:tcPr>
                  <w:tcW w:w="282" w:type="pct"/>
                  <w:tcBorders>
                    <w:tl2br w:val="nil"/>
                    <w:tr2bl w:val="nil"/>
                  </w:tcBorders>
                  <w:shd w:val="clear" w:color="auto" w:fill="auto"/>
                  <w:vAlign w:val="center"/>
                </w:tcPr>
                <w:p w14:paraId="343B45D9">
                  <w:pPr>
                    <w:pStyle w:val="38"/>
                  </w:pPr>
                  <w:r>
                    <w:t xml:space="preserve">54.26 </w:t>
                  </w:r>
                </w:p>
              </w:tc>
              <w:tc>
                <w:tcPr>
                  <w:tcW w:w="282" w:type="pct"/>
                  <w:vMerge w:val="continue"/>
                  <w:tcBorders>
                    <w:tl2br w:val="nil"/>
                    <w:tr2bl w:val="nil"/>
                  </w:tcBorders>
                  <w:shd w:val="clear" w:color="auto" w:fill="auto"/>
                  <w:vAlign w:val="center"/>
                </w:tcPr>
                <w:p w14:paraId="7F37A90D">
                  <w:pPr>
                    <w:jc w:val="center"/>
                    <w:rPr>
                      <w:szCs w:val="21"/>
                    </w:rPr>
                  </w:pPr>
                </w:p>
              </w:tc>
              <w:tc>
                <w:tcPr>
                  <w:tcW w:w="282" w:type="pct"/>
                  <w:tcBorders>
                    <w:tl2br w:val="nil"/>
                    <w:tr2bl w:val="nil"/>
                  </w:tcBorders>
                  <w:shd w:val="clear" w:color="auto" w:fill="auto"/>
                  <w:vAlign w:val="center"/>
                </w:tcPr>
                <w:p w14:paraId="189F94AB">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3418EDF8">
                  <w:pPr>
                    <w:pStyle w:val="38"/>
                  </w:pPr>
                  <w:r>
                    <w:t xml:space="preserve">39.26 </w:t>
                  </w:r>
                </w:p>
              </w:tc>
              <w:tc>
                <w:tcPr>
                  <w:tcW w:w="283" w:type="pct"/>
                  <w:tcBorders>
                    <w:tl2br w:val="nil"/>
                    <w:tr2bl w:val="nil"/>
                  </w:tcBorders>
                  <w:shd w:val="clear" w:color="auto" w:fill="auto"/>
                  <w:vAlign w:val="center"/>
                </w:tcPr>
                <w:p w14:paraId="46F770F1">
                  <w:pPr>
                    <w:pStyle w:val="38"/>
                  </w:pPr>
                  <w:r>
                    <w:rPr>
                      <w:rFonts w:hint="eastAsia"/>
                    </w:rPr>
                    <w:t>1</w:t>
                  </w:r>
                </w:p>
              </w:tc>
            </w:tr>
            <w:tr w14:paraId="78F2FA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7AEC870D">
                  <w:pPr>
                    <w:widowControl/>
                    <w:numPr>
                      <w:ilvl w:val="0"/>
                      <w:numId w:val="12"/>
                    </w:numPr>
                    <w:tabs>
                      <w:tab w:val="clear" w:pos="0"/>
                    </w:tabs>
                    <w:jc w:val="center"/>
                    <w:textAlignment w:val="center"/>
                    <w:rPr>
                      <w:szCs w:val="21"/>
                    </w:rPr>
                  </w:pPr>
                </w:p>
              </w:tc>
              <w:tc>
                <w:tcPr>
                  <w:tcW w:w="429" w:type="pct"/>
                  <w:vMerge w:val="continue"/>
                  <w:tcBorders>
                    <w:tl2br w:val="nil"/>
                    <w:tr2bl w:val="nil"/>
                  </w:tcBorders>
                  <w:shd w:val="clear" w:color="auto" w:fill="auto"/>
                  <w:vAlign w:val="center"/>
                </w:tcPr>
                <w:p w14:paraId="57EFA535">
                  <w:pPr>
                    <w:jc w:val="center"/>
                    <w:rPr>
                      <w:szCs w:val="21"/>
                    </w:rPr>
                  </w:pPr>
                </w:p>
              </w:tc>
              <w:tc>
                <w:tcPr>
                  <w:tcW w:w="589" w:type="pct"/>
                  <w:tcBorders>
                    <w:tl2br w:val="nil"/>
                    <w:tr2bl w:val="nil"/>
                  </w:tcBorders>
                  <w:shd w:val="clear" w:color="auto" w:fill="auto"/>
                  <w:vAlign w:val="center"/>
                </w:tcPr>
                <w:p w14:paraId="74A15E9C">
                  <w:pPr>
                    <w:pStyle w:val="38"/>
                  </w:pPr>
                  <w:r>
                    <w:t>排空泵</w:t>
                  </w:r>
                </w:p>
              </w:tc>
              <w:tc>
                <w:tcPr>
                  <w:tcW w:w="485" w:type="pct"/>
                  <w:tcBorders>
                    <w:tl2br w:val="nil"/>
                    <w:tr2bl w:val="nil"/>
                  </w:tcBorders>
                  <w:shd w:val="clear" w:color="auto" w:fill="auto"/>
                  <w:vAlign w:val="center"/>
                </w:tcPr>
                <w:p w14:paraId="75FFC370">
                  <w:pPr>
                    <w:pStyle w:val="38"/>
                    <w:bidi w:val="0"/>
                  </w:pPr>
                  <w:r>
                    <w:rPr>
                      <w:rFonts w:hint="eastAsia"/>
                      <w:lang w:val="en-US" w:eastAsia="zh-CN"/>
                    </w:rPr>
                    <w:t>2</w:t>
                  </w:r>
                </w:p>
              </w:tc>
              <w:tc>
                <w:tcPr>
                  <w:tcW w:w="485" w:type="pct"/>
                  <w:tcBorders>
                    <w:tl2br w:val="nil"/>
                    <w:tr2bl w:val="nil"/>
                  </w:tcBorders>
                  <w:shd w:val="clear" w:color="auto" w:fill="auto"/>
                  <w:vAlign w:val="center"/>
                </w:tcPr>
                <w:p w14:paraId="63C1B896">
                  <w:pPr>
                    <w:pStyle w:val="38"/>
                  </w:pPr>
                  <w:r>
                    <w:t>85</w:t>
                  </w:r>
                </w:p>
              </w:tc>
              <w:tc>
                <w:tcPr>
                  <w:tcW w:w="282" w:type="pct"/>
                  <w:vMerge w:val="continue"/>
                  <w:tcBorders>
                    <w:tl2br w:val="nil"/>
                    <w:tr2bl w:val="nil"/>
                  </w:tcBorders>
                  <w:shd w:val="clear" w:color="auto" w:fill="auto"/>
                  <w:vAlign w:val="center"/>
                </w:tcPr>
                <w:p w14:paraId="26FA7AB5">
                  <w:pPr>
                    <w:jc w:val="center"/>
                    <w:rPr>
                      <w:szCs w:val="21"/>
                    </w:rPr>
                  </w:pPr>
                </w:p>
              </w:tc>
              <w:tc>
                <w:tcPr>
                  <w:tcW w:w="282" w:type="pct"/>
                  <w:tcBorders>
                    <w:tl2br w:val="nil"/>
                    <w:tr2bl w:val="nil"/>
                  </w:tcBorders>
                  <w:shd w:val="clear" w:color="auto" w:fill="auto"/>
                  <w:vAlign w:val="center"/>
                </w:tcPr>
                <w:p w14:paraId="32590C81">
                  <w:pPr>
                    <w:jc w:val="center"/>
                    <w:rPr>
                      <w:szCs w:val="21"/>
                    </w:rPr>
                  </w:pPr>
                  <w:r>
                    <w:rPr>
                      <w:rFonts w:hint="eastAsia"/>
                      <w:szCs w:val="21"/>
                    </w:rPr>
                    <w:t>5</w:t>
                  </w:r>
                </w:p>
              </w:tc>
              <w:tc>
                <w:tcPr>
                  <w:tcW w:w="282" w:type="pct"/>
                  <w:tcBorders>
                    <w:tl2br w:val="nil"/>
                    <w:tr2bl w:val="nil"/>
                  </w:tcBorders>
                  <w:shd w:val="clear" w:color="auto" w:fill="auto"/>
                  <w:vAlign w:val="center"/>
                </w:tcPr>
                <w:p w14:paraId="1DEDE258">
                  <w:pPr>
                    <w:jc w:val="center"/>
                    <w:rPr>
                      <w:szCs w:val="21"/>
                    </w:rPr>
                  </w:pPr>
                  <w:r>
                    <w:rPr>
                      <w:rFonts w:hint="eastAsia"/>
                      <w:szCs w:val="21"/>
                    </w:rPr>
                    <w:t>0</w:t>
                  </w:r>
                </w:p>
              </w:tc>
              <w:tc>
                <w:tcPr>
                  <w:tcW w:w="282" w:type="pct"/>
                  <w:tcBorders>
                    <w:tl2br w:val="nil"/>
                    <w:tr2bl w:val="nil"/>
                  </w:tcBorders>
                  <w:shd w:val="clear" w:color="auto" w:fill="auto"/>
                  <w:vAlign w:val="center"/>
                </w:tcPr>
                <w:p w14:paraId="06418451">
                  <w:pPr>
                    <w:pStyle w:val="38"/>
                    <w:bidi w:val="0"/>
                  </w:pPr>
                  <w:r>
                    <w:rPr>
                      <w:rFonts w:hint="eastAsia"/>
                      <w:lang w:val="en-US" w:eastAsia="zh-CN"/>
                    </w:rPr>
                    <w:t>1</w:t>
                  </w:r>
                </w:p>
              </w:tc>
              <w:tc>
                <w:tcPr>
                  <w:tcW w:w="282" w:type="pct"/>
                  <w:tcBorders>
                    <w:tl2br w:val="nil"/>
                    <w:tr2bl w:val="nil"/>
                  </w:tcBorders>
                  <w:shd w:val="clear" w:color="auto" w:fill="auto"/>
                  <w:vAlign w:val="center"/>
                </w:tcPr>
                <w:p w14:paraId="5B2075B3">
                  <w:pPr>
                    <w:pStyle w:val="38"/>
                  </w:pPr>
                  <w:r>
                    <w:t xml:space="preserve">14.0 </w:t>
                  </w:r>
                </w:p>
              </w:tc>
              <w:tc>
                <w:tcPr>
                  <w:tcW w:w="282" w:type="pct"/>
                  <w:tcBorders>
                    <w:tl2br w:val="nil"/>
                    <w:tr2bl w:val="nil"/>
                  </w:tcBorders>
                  <w:shd w:val="clear" w:color="auto" w:fill="auto"/>
                  <w:vAlign w:val="center"/>
                </w:tcPr>
                <w:p w14:paraId="6AEFAF42">
                  <w:pPr>
                    <w:pStyle w:val="38"/>
                  </w:pPr>
                  <w:r>
                    <w:t xml:space="preserve">52.50 </w:t>
                  </w:r>
                </w:p>
              </w:tc>
              <w:tc>
                <w:tcPr>
                  <w:tcW w:w="282" w:type="pct"/>
                  <w:vMerge w:val="continue"/>
                  <w:tcBorders>
                    <w:tl2br w:val="nil"/>
                    <w:tr2bl w:val="nil"/>
                  </w:tcBorders>
                  <w:shd w:val="clear" w:color="auto" w:fill="auto"/>
                  <w:vAlign w:val="center"/>
                </w:tcPr>
                <w:p w14:paraId="1D7C1761">
                  <w:pPr>
                    <w:jc w:val="center"/>
                    <w:rPr>
                      <w:szCs w:val="21"/>
                    </w:rPr>
                  </w:pPr>
                </w:p>
              </w:tc>
              <w:tc>
                <w:tcPr>
                  <w:tcW w:w="282" w:type="pct"/>
                  <w:tcBorders>
                    <w:tl2br w:val="nil"/>
                    <w:tr2bl w:val="nil"/>
                  </w:tcBorders>
                  <w:shd w:val="clear" w:color="auto" w:fill="auto"/>
                  <w:vAlign w:val="center"/>
                </w:tcPr>
                <w:p w14:paraId="56CE5DD5">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55B089C7">
                  <w:pPr>
                    <w:pStyle w:val="38"/>
                  </w:pPr>
                  <w:r>
                    <w:t xml:space="preserve">37.50 </w:t>
                  </w:r>
                </w:p>
              </w:tc>
              <w:tc>
                <w:tcPr>
                  <w:tcW w:w="283" w:type="pct"/>
                  <w:tcBorders>
                    <w:tl2br w:val="nil"/>
                    <w:tr2bl w:val="nil"/>
                  </w:tcBorders>
                  <w:shd w:val="clear" w:color="auto" w:fill="auto"/>
                  <w:vAlign w:val="center"/>
                </w:tcPr>
                <w:p w14:paraId="4613167E">
                  <w:pPr>
                    <w:pStyle w:val="38"/>
                  </w:pPr>
                  <w:r>
                    <w:rPr>
                      <w:rFonts w:hint="eastAsia"/>
                    </w:rPr>
                    <w:t>1</w:t>
                  </w:r>
                </w:p>
              </w:tc>
            </w:tr>
            <w:tr w14:paraId="44C44A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110D9E13">
                  <w:pPr>
                    <w:widowControl/>
                    <w:numPr>
                      <w:ilvl w:val="0"/>
                      <w:numId w:val="12"/>
                    </w:numPr>
                    <w:tabs>
                      <w:tab w:val="clear" w:pos="0"/>
                    </w:tabs>
                    <w:jc w:val="center"/>
                    <w:textAlignment w:val="center"/>
                    <w:rPr>
                      <w:szCs w:val="21"/>
                    </w:rPr>
                  </w:pPr>
                </w:p>
              </w:tc>
              <w:tc>
                <w:tcPr>
                  <w:tcW w:w="429" w:type="pct"/>
                  <w:vMerge w:val="continue"/>
                  <w:tcBorders>
                    <w:tl2br w:val="nil"/>
                    <w:tr2bl w:val="nil"/>
                  </w:tcBorders>
                  <w:shd w:val="clear" w:color="auto" w:fill="auto"/>
                  <w:vAlign w:val="center"/>
                </w:tcPr>
                <w:p w14:paraId="6AC77722">
                  <w:pPr>
                    <w:jc w:val="center"/>
                    <w:rPr>
                      <w:kern w:val="0"/>
                      <w:szCs w:val="21"/>
                    </w:rPr>
                  </w:pPr>
                </w:p>
              </w:tc>
              <w:tc>
                <w:tcPr>
                  <w:tcW w:w="589" w:type="pct"/>
                  <w:tcBorders>
                    <w:tl2br w:val="nil"/>
                    <w:tr2bl w:val="nil"/>
                  </w:tcBorders>
                  <w:shd w:val="clear" w:color="auto" w:fill="auto"/>
                  <w:vAlign w:val="center"/>
                </w:tcPr>
                <w:p w14:paraId="12C7232D">
                  <w:pPr>
                    <w:pStyle w:val="38"/>
                  </w:pPr>
                  <w:r>
                    <w:t>真空发生器</w:t>
                  </w:r>
                </w:p>
              </w:tc>
              <w:tc>
                <w:tcPr>
                  <w:tcW w:w="485" w:type="pct"/>
                  <w:tcBorders>
                    <w:tl2br w:val="nil"/>
                    <w:tr2bl w:val="nil"/>
                  </w:tcBorders>
                  <w:shd w:val="clear" w:color="auto" w:fill="auto"/>
                  <w:vAlign w:val="center"/>
                </w:tcPr>
                <w:p w14:paraId="3B9B318D">
                  <w:pPr>
                    <w:pStyle w:val="38"/>
                    <w:bidi w:val="0"/>
                  </w:pPr>
                  <w:r>
                    <w:rPr>
                      <w:rFonts w:hint="eastAsia"/>
                      <w:lang w:val="en-US" w:eastAsia="zh-CN"/>
                    </w:rPr>
                    <w:t>2</w:t>
                  </w:r>
                </w:p>
              </w:tc>
              <w:tc>
                <w:tcPr>
                  <w:tcW w:w="485" w:type="pct"/>
                  <w:tcBorders>
                    <w:tl2br w:val="nil"/>
                    <w:tr2bl w:val="nil"/>
                  </w:tcBorders>
                  <w:shd w:val="clear" w:color="auto" w:fill="auto"/>
                  <w:vAlign w:val="center"/>
                </w:tcPr>
                <w:p w14:paraId="33FD4F64">
                  <w:pPr>
                    <w:pStyle w:val="38"/>
                  </w:pPr>
                  <w:r>
                    <w:t>80</w:t>
                  </w:r>
                </w:p>
              </w:tc>
              <w:tc>
                <w:tcPr>
                  <w:tcW w:w="282" w:type="pct"/>
                  <w:vMerge w:val="continue"/>
                  <w:tcBorders>
                    <w:tl2br w:val="nil"/>
                    <w:tr2bl w:val="nil"/>
                  </w:tcBorders>
                  <w:shd w:val="clear" w:color="auto" w:fill="auto"/>
                  <w:vAlign w:val="center"/>
                </w:tcPr>
                <w:p w14:paraId="5D4176CA">
                  <w:pPr>
                    <w:jc w:val="center"/>
                    <w:rPr>
                      <w:szCs w:val="21"/>
                    </w:rPr>
                  </w:pPr>
                </w:p>
              </w:tc>
              <w:tc>
                <w:tcPr>
                  <w:tcW w:w="282" w:type="pct"/>
                  <w:tcBorders>
                    <w:tl2br w:val="nil"/>
                    <w:tr2bl w:val="nil"/>
                  </w:tcBorders>
                  <w:shd w:val="clear" w:color="auto" w:fill="auto"/>
                  <w:vAlign w:val="center"/>
                </w:tcPr>
                <w:p w14:paraId="538AA9D5">
                  <w:pPr>
                    <w:jc w:val="center"/>
                    <w:rPr>
                      <w:szCs w:val="21"/>
                    </w:rPr>
                  </w:pPr>
                  <w:r>
                    <w:rPr>
                      <w:rFonts w:hint="eastAsia"/>
                      <w:szCs w:val="21"/>
                    </w:rPr>
                    <w:t>10</w:t>
                  </w:r>
                </w:p>
              </w:tc>
              <w:tc>
                <w:tcPr>
                  <w:tcW w:w="282" w:type="pct"/>
                  <w:tcBorders>
                    <w:tl2br w:val="nil"/>
                    <w:tr2bl w:val="nil"/>
                  </w:tcBorders>
                  <w:shd w:val="clear" w:color="auto" w:fill="auto"/>
                  <w:vAlign w:val="center"/>
                </w:tcPr>
                <w:p w14:paraId="539D9BDC">
                  <w:pPr>
                    <w:jc w:val="center"/>
                    <w:rPr>
                      <w:szCs w:val="21"/>
                    </w:rPr>
                  </w:pPr>
                  <w:r>
                    <w:rPr>
                      <w:rFonts w:hint="eastAsia"/>
                      <w:szCs w:val="21"/>
                    </w:rPr>
                    <w:t>-5</w:t>
                  </w:r>
                </w:p>
              </w:tc>
              <w:tc>
                <w:tcPr>
                  <w:tcW w:w="282" w:type="pct"/>
                  <w:tcBorders>
                    <w:tl2br w:val="nil"/>
                    <w:tr2bl w:val="nil"/>
                  </w:tcBorders>
                  <w:shd w:val="clear" w:color="auto" w:fill="auto"/>
                  <w:vAlign w:val="center"/>
                </w:tcPr>
                <w:p w14:paraId="4522B7A3">
                  <w:pPr>
                    <w:pStyle w:val="38"/>
                    <w:bidi w:val="0"/>
                  </w:pPr>
                  <w:r>
                    <w:rPr>
                      <w:rFonts w:hint="eastAsia"/>
                      <w:lang w:val="en-US" w:eastAsia="zh-CN"/>
                    </w:rPr>
                    <w:t>1</w:t>
                  </w:r>
                </w:p>
              </w:tc>
              <w:tc>
                <w:tcPr>
                  <w:tcW w:w="282" w:type="pct"/>
                  <w:tcBorders>
                    <w:tl2br w:val="nil"/>
                    <w:tr2bl w:val="nil"/>
                  </w:tcBorders>
                  <w:shd w:val="clear" w:color="auto" w:fill="auto"/>
                  <w:vAlign w:val="center"/>
                </w:tcPr>
                <w:p w14:paraId="2F8E2AA6">
                  <w:pPr>
                    <w:pStyle w:val="38"/>
                  </w:pPr>
                  <w:r>
                    <w:t xml:space="preserve">15.0 </w:t>
                  </w:r>
                </w:p>
              </w:tc>
              <w:tc>
                <w:tcPr>
                  <w:tcW w:w="282" w:type="pct"/>
                  <w:tcBorders>
                    <w:tl2br w:val="nil"/>
                    <w:tr2bl w:val="nil"/>
                  </w:tcBorders>
                  <w:shd w:val="clear" w:color="auto" w:fill="auto"/>
                  <w:vAlign w:val="center"/>
                </w:tcPr>
                <w:p w14:paraId="1BA64B4F">
                  <w:pPr>
                    <w:pStyle w:val="38"/>
                  </w:pPr>
                  <w:r>
                    <w:t xml:space="preserve">48.01 </w:t>
                  </w:r>
                </w:p>
              </w:tc>
              <w:tc>
                <w:tcPr>
                  <w:tcW w:w="282" w:type="pct"/>
                  <w:vMerge w:val="continue"/>
                  <w:tcBorders>
                    <w:tl2br w:val="nil"/>
                    <w:tr2bl w:val="nil"/>
                  </w:tcBorders>
                  <w:shd w:val="clear" w:color="auto" w:fill="auto"/>
                  <w:vAlign w:val="center"/>
                </w:tcPr>
                <w:p w14:paraId="6ED8868E">
                  <w:pPr>
                    <w:jc w:val="center"/>
                    <w:rPr>
                      <w:szCs w:val="21"/>
                    </w:rPr>
                  </w:pPr>
                </w:p>
              </w:tc>
              <w:tc>
                <w:tcPr>
                  <w:tcW w:w="282" w:type="pct"/>
                  <w:tcBorders>
                    <w:tl2br w:val="nil"/>
                    <w:tr2bl w:val="nil"/>
                  </w:tcBorders>
                  <w:shd w:val="clear" w:color="auto" w:fill="auto"/>
                  <w:vAlign w:val="center"/>
                </w:tcPr>
                <w:p w14:paraId="24A87E86">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6042B5AF">
                  <w:pPr>
                    <w:pStyle w:val="38"/>
                  </w:pPr>
                  <w:r>
                    <w:t xml:space="preserve">33.01 </w:t>
                  </w:r>
                </w:p>
              </w:tc>
              <w:tc>
                <w:tcPr>
                  <w:tcW w:w="283" w:type="pct"/>
                  <w:tcBorders>
                    <w:tl2br w:val="nil"/>
                    <w:tr2bl w:val="nil"/>
                  </w:tcBorders>
                  <w:shd w:val="clear" w:color="auto" w:fill="auto"/>
                  <w:vAlign w:val="center"/>
                </w:tcPr>
                <w:p w14:paraId="74DBB957">
                  <w:pPr>
                    <w:pStyle w:val="38"/>
                  </w:pPr>
                  <w:r>
                    <w:rPr>
                      <w:rFonts w:hint="eastAsia"/>
                    </w:rPr>
                    <w:t>1</w:t>
                  </w:r>
                </w:p>
              </w:tc>
            </w:tr>
            <w:tr w14:paraId="56AC9D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535D752F">
                  <w:pPr>
                    <w:widowControl/>
                    <w:numPr>
                      <w:ilvl w:val="0"/>
                      <w:numId w:val="12"/>
                    </w:numPr>
                    <w:tabs>
                      <w:tab w:val="clear" w:pos="0"/>
                    </w:tabs>
                    <w:jc w:val="center"/>
                    <w:textAlignment w:val="center"/>
                    <w:rPr>
                      <w:szCs w:val="21"/>
                    </w:rPr>
                  </w:pPr>
                </w:p>
              </w:tc>
              <w:tc>
                <w:tcPr>
                  <w:tcW w:w="429" w:type="pct"/>
                  <w:vMerge w:val="continue"/>
                  <w:tcBorders>
                    <w:tl2br w:val="nil"/>
                    <w:tr2bl w:val="nil"/>
                  </w:tcBorders>
                  <w:shd w:val="clear" w:color="auto" w:fill="auto"/>
                  <w:vAlign w:val="center"/>
                </w:tcPr>
                <w:p w14:paraId="1D021C4D">
                  <w:pPr>
                    <w:jc w:val="center"/>
                    <w:rPr>
                      <w:kern w:val="0"/>
                      <w:szCs w:val="21"/>
                    </w:rPr>
                  </w:pPr>
                </w:p>
              </w:tc>
              <w:tc>
                <w:tcPr>
                  <w:tcW w:w="589" w:type="pct"/>
                  <w:tcBorders>
                    <w:tl2br w:val="nil"/>
                    <w:tr2bl w:val="nil"/>
                  </w:tcBorders>
                  <w:shd w:val="clear" w:color="auto" w:fill="auto"/>
                  <w:vAlign w:val="center"/>
                </w:tcPr>
                <w:p w14:paraId="5598CD73">
                  <w:pPr>
                    <w:pStyle w:val="38"/>
                  </w:pPr>
                  <w:r>
                    <w:t>空压机</w:t>
                  </w:r>
                </w:p>
              </w:tc>
              <w:tc>
                <w:tcPr>
                  <w:tcW w:w="485" w:type="pct"/>
                  <w:tcBorders>
                    <w:tl2br w:val="nil"/>
                    <w:tr2bl w:val="nil"/>
                  </w:tcBorders>
                  <w:shd w:val="clear" w:color="auto" w:fill="auto"/>
                  <w:vAlign w:val="center"/>
                </w:tcPr>
                <w:p w14:paraId="03EFE375">
                  <w:pPr>
                    <w:pStyle w:val="38"/>
                  </w:pPr>
                  <w:r>
                    <w:t>1</w:t>
                  </w:r>
                </w:p>
              </w:tc>
              <w:tc>
                <w:tcPr>
                  <w:tcW w:w="485" w:type="pct"/>
                  <w:tcBorders>
                    <w:tl2br w:val="nil"/>
                    <w:tr2bl w:val="nil"/>
                  </w:tcBorders>
                  <w:shd w:val="clear" w:color="auto" w:fill="auto"/>
                  <w:vAlign w:val="center"/>
                </w:tcPr>
                <w:p w14:paraId="2BF9C112">
                  <w:pPr>
                    <w:pStyle w:val="38"/>
                  </w:pPr>
                  <w:r>
                    <w:t>90</w:t>
                  </w:r>
                </w:p>
              </w:tc>
              <w:tc>
                <w:tcPr>
                  <w:tcW w:w="282" w:type="pct"/>
                  <w:vMerge w:val="continue"/>
                  <w:tcBorders>
                    <w:tl2br w:val="nil"/>
                    <w:tr2bl w:val="nil"/>
                  </w:tcBorders>
                  <w:shd w:val="clear" w:color="auto" w:fill="auto"/>
                  <w:vAlign w:val="center"/>
                </w:tcPr>
                <w:p w14:paraId="172DD836">
                  <w:pPr>
                    <w:jc w:val="center"/>
                    <w:rPr>
                      <w:szCs w:val="21"/>
                    </w:rPr>
                  </w:pPr>
                </w:p>
              </w:tc>
              <w:tc>
                <w:tcPr>
                  <w:tcW w:w="282" w:type="pct"/>
                  <w:tcBorders>
                    <w:tl2br w:val="nil"/>
                    <w:tr2bl w:val="nil"/>
                  </w:tcBorders>
                  <w:shd w:val="clear" w:color="auto" w:fill="auto"/>
                  <w:vAlign w:val="center"/>
                </w:tcPr>
                <w:p w14:paraId="07E46E6F">
                  <w:pPr>
                    <w:jc w:val="center"/>
                    <w:rPr>
                      <w:szCs w:val="21"/>
                    </w:rPr>
                  </w:pPr>
                  <w:r>
                    <w:rPr>
                      <w:rFonts w:hint="eastAsia"/>
                      <w:szCs w:val="21"/>
                    </w:rPr>
                    <w:t>-5</w:t>
                  </w:r>
                </w:p>
              </w:tc>
              <w:tc>
                <w:tcPr>
                  <w:tcW w:w="282" w:type="pct"/>
                  <w:tcBorders>
                    <w:tl2br w:val="nil"/>
                    <w:tr2bl w:val="nil"/>
                  </w:tcBorders>
                  <w:shd w:val="clear" w:color="auto" w:fill="auto"/>
                  <w:vAlign w:val="center"/>
                </w:tcPr>
                <w:p w14:paraId="1AF91E65">
                  <w:pPr>
                    <w:jc w:val="center"/>
                    <w:rPr>
                      <w:szCs w:val="21"/>
                    </w:rPr>
                  </w:pPr>
                  <w:r>
                    <w:rPr>
                      <w:rFonts w:hint="eastAsia"/>
                      <w:szCs w:val="21"/>
                    </w:rPr>
                    <w:t>-15</w:t>
                  </w:r>
                </w:p>
              </w:tc>
              <w:tc>
                <w:tcPr>
                  <w:tcW w:w="282" w:type="pct"/>
                  <w:tcBorders>
                    <w:tl2br w:val="nil"/>
                    <w:tr2bl w:val="nil"/>
                  </w:tcBorders>
                  <w:shd w:val="clear" w:color="auto" w:fill="auto"/>
                  <w:vAlign w:val="center"/>
                </w:tcPr>
                <w:p w14:paraId="5BF99C54">
                  <w:pPr>
                    <w:pStyle w:val="38"/>
                    <w:bidi w:val="0"/>
                  </w:pPr>
                  <w:r>
                    <w:rPr>
                      <w:rFonts w:hint="eastAsia"/>
                      <w:lang w:val="en-US" w:eastAsia="zh-CN"/>
                    </w:rPr>
                    <w:t>1</w:t>
                  </w:r>
                </w:p>
              </w:tc>
              <w:tc>
                <w:tcPr>
                  <w:tcW w:w="282" w:type="pct"/>
                  <w:tcBorders>
                    <w:tl2br w:val="nil"/>
                    <w:tr2bl w:val="nil"/>
                  </w:tcBorders>
                  <w:shd w:val="clear" w:color="auto" w:fill="auto"/>
                  <w:vAlign w:val="center"/>
                </w:tcPr>
                <w:p w14:paraId="145EF1E4">
                  <w:pPr>
                    <w:pStyle w:val="38"/>
                  </w:pPr>
                  <w:r>
                    <w:t xml:space="preserve">20.0 </w:t>
                  </w:r>
                </w:p>
              </w:tc>
              <w:tc>
                <w:tcPr>
                  <w:tcW w:w="282" w:type="pct"/>
                  <w:tcBorders>
                    <w:tl2br w:val="nil"/>
                    <w:tr2bl w:val="nil"/>
                  </w:tcBorders>
                  <w:shd w:val="clear" w:color="auto" w:fill="auto"/>
                  <w:vAlign w:val="center"/>
                </w:tcPr>
                <w:p w14:paraId="7F296DCA">
                  <w:pPr>
                    <w:pStyle w:val="38"/>
                  </w:pPr>
                  <w:r>
                    <w:t xml:space="preserve">55.09 </w:t>
                  </w:r>
                </w:p>
              </w:tc>
              <w:tc>
                <w:tcPr>
                  <w:tcW w:w="282" w:type="pct"/>
                  <w:vMerge w:val="continue"/>
                  <w:tcBorders>
                    <w:tl2br w:val="nil"/>
                    <w:tr2bl w:val="nil"/>
                  </w:tcBorders>
                  <w:shd w:val="clear" w:color="auto" w:fill="auto"/>
                  <w:vAlign w:val="center"/>
                </w:tcPr>
                <w:p w14:paraId="593155A0">
                  <w:pPr>
                    <w:jc w:val="center"/>
                    <w:rPr>
                      <w:szCs w:val="21"/>
                    </w:rPr>
                  </w:pPr>
                </w:p>
              </w:tc>
              <w:tc>
                <w:tcPr>
                  <w:tcW w:w="282" w:type="pct"/>
                  <w:tcBorders>
                    <w:tl2br w:val="nil"/>
                    <w:tr2bl w:val="nil"/>
                  </w:tcBorders>
                  <w:shd w:val="clear" w:color="auto" w:fill="auto"/>
                  <w:vAlign w:val="center"/>
                </w:tcPr>
                <w:p w14:paraId="62815AE5">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330F1B52">
                  <w:pPr>
                    <w:pStyle w:val="38"/>
                  </w:pPr>
                  <w:r>
                    <w:t xml:space="preserve">40.09 </w:t>
                  </w:r>
                </w:p>
              </w:tc>
              <w:tc>
                <w:tcPr>
                  <w:tcW w:w="283" w:type="pct"/>
                  <w:tcBorders>
                    <w:tl2br w:val="nil"/>
                    <w:tr2bl w:val="nil"/>
                  </w:tcBorders>
                  <w:shd w:val="clear" w:color="auto" w:fill="auto"/>
                  <w:vAlign w:val="center"/>
                </w:tcPr>
                <w:p w14:paraId="3F906FD6">
                  <w:pPr>
                    <w:pStyle w:val="38"/>
                  </w:pPr>
                  <w:r>
                    <w:rPr>
                      <w:rFonts w:hint="eastAsia"/>
                    </w:rPr>
                    <w:t>1</w:t>
                  </w:r>
                </w:p>
              </w:tc>
            </w:tr>
            <w:tr w14:paraId="38B05E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6CA450EB">
                  <w:pPr>
                    <w:widowControl/>
                    <w:numPr>
                      <w:ilvl w:val="0"/>
                      <w:numId w:val="12"/>
                    </w:numPr>
                    <w:tabs>
                      <w:tab w:val="clear" w:pos="0"/>
                    </w:tabs>
                    <w:jc w:val="center"/>
                    <w:textAlignment w:val="center"/>
                    <w:rPr>
                      <w:szCs w:val="21"/>
                    </w:rPr>
                  </w:pPr>
                </w:p>
              </w:tc>
              <w:tc>
                <w:tcPr>
                  <w:tcW w:w="429" w:type="pct"/>
                  <w:tcBorders>
                    <w:tl2br w:val="nil"/>
                    <w:tr2bl w:val="nil"/>
                  </w:tcBorders>
                  <w:shd w:val="clear" w:color="auto" w:fill="auto"/>
                  <w:vAlign w:val="center"/>
                </w:tcPr>
                <w:p w14:paraId="6B80EFC9">
                  <w:pPr>
                    <w:jc w:val="center"/>
                    <w:rPr>
                      <w:kern w:val="0"/>
                      <w:szCs w:val="21"/>
                    </w:rPr>
                  </w:pPr>
                  <w:r>
                    <w:rPr>
                      <w:rFonts w:hint="eastAsia"/>
                      <w:szCs w:val="21"/>
                    </w:rPr>
                    <w:t>清水池</w:t>
                  </w:r>
                </w:p>
              </w:tc>
              <w:tc>
                <w:tcPr>
                  <w:tcW w:w="589" w:type="pct"/>
                  <w:tcBorders>
                    <w:tl2br w:val="nil"/>
                    <w:tr2bl w:val="nil"/>
                  </w:tcBorders>
                  <w:shd w:val="clear" w:color="auto" w:fill="auto"/>
                  <w:vAlign w:val="center"/>
                </w:tcPr>
                <w:p w14:paraId="5CAF8AFC">
                  <w:pPr>
                    <w:pStyle w:val="38"/>
                  </w:pPr>
                  <w:r>
                    <w:t>卧式离心泵</w:t>
                  </w:r>
                </w:p>
              </w:tc>
              <w:tc>
                <w:tcPr>
                  <w:tcW w:w="485" w:type="pct"/>
                  <w:tcBorders>
                    <w:tl2br w:val="nil"/>
                    <w:tr2bl w:val="nil"/>
                  </w:tcBorders>
                  <w:shd w:val="clear" w:color="auto" w:fill="auto"/>
                  <w:vAlign w:val="center"/>
                </w:tcPr>
                <w:p w14:paraId="7B2814C3">
                  <w:pPr>
                    <w:pStyle w:val="38"/>
                    <w:bidi w:val="0"/>
                  </w:pPr>
                  <w:r>
                    <w:rPr>
                      <w:rFonts w:hint="eastAsia"/>
                      <w:lang w:val="en-US" w:eastAsia="zh-CN"/>
                    </w:rPr>
                    <w:t>1</w:t>
                  </w:r>
                </w:p>
              </w:tc>
              <w:tc>
                <w:tcPr>
                  <w:tcW w:w="485" w:type="pct"/>
                  <w:tcBorders>
                    <w:tl2br w:val="nil"/>
                    <w:tr2bl w:val="nil"/>
                  </w:tcBorders>
                  <w:shd w:val="clear" w:color="auto" w:fill="auto"/>
                  <w:vAlign w:val="center"/>
                </w:tcPr>
                <w:p w14:paraId="1CE79C0B">
                  <w:pPr>
                    <w:pStyle w:val="38"/>
                  </w:pPr>
                  <w:r>
                    <w:t>75</w:t>
                  </w:r>
                </w:p>
              </w:tc>
              <w:tc>
                <w:tcPr>
                  <w:tcW w:w="282" w:type="pct"/>
                  <w:vMerge w:val="continue"/>
                  <w:tcBorders>
                    <w:tl2br w:val="nil"/>
                    <w:tr2bl w:val="nil"/>
                  </w:tcBorders>
                  <w:shd w:val="clear" w:color="auto" w:fill="auto"/>
                  <w:vAlign w:val="center"/>
                </w:tcPr>
                <w:p w14:paraId="4B913B8A">
                  <w:pPr>
                    <w:jc w:val="center"/>
                    <w:rPr>
                      <w:szCs w:val="21"/>
                    </w:rPr>
                  </w:pPr>
                </w:p>
              </w:tc>
              <w:tc>
                <w:tcPr>
                  <w:tcW w:w="282" w:type="pct"/>
                  <w:tcBorders>
                    <w:tl2br w:val="nil"/>
                    <w:tr2bl w:val="nil"/>
                  </w:tcBorders>
                  <w:shd w:val="clear" w:color="auto" w:fill="auto"/>
                  <w:vAlign w:val="center"/>
                </w:tcPr>
                <w:p w14:paraId="09510116">
                  <w:pPr>
                    <w:jc w:val="center"/>
                    <w:rPr>
                      <w:szCs w:val="21"/>
                    </w:rPr>
                  </w:pPr>
                  <w:r>
                    <w:rPr>
                      <w:rFonts w:hint="eastAsia"/>
                      <w:szCs w:val="21"/>
                    </w:rPr>
                    <w:t>-28</w:t>
                  </w:r>
                </w:p>
              </w:tc>
              <w:tc>
                <w:tcPr>
                  <w:tcW w:w="282" w:type="pct"/>
                  <w:tcBorders>
                    <w:tl2br w:val="nil"/>
                    <w:tr2bl w:val="nil"/>
                  </w:tcBorders>
                  <w:shd w:val="clear" w:color="auto" w:fill="auto"/>
                  <w:vAlign w:val="center"/>
                </w:tcPr>
                <w:p w14:paraId="32D3AB66">
                  <w:pPr>
                    <w:jc w:val="center"/>
                    <w:rPr>
                      <w:szCs w:val="21"/>
                    </w:rPr>
                  </w:pPr>
                  <w:r>
                    <w:rPr>
                      <w:rFonts w:hint="eastAsia"/>
                      <w:szCs w:val="21"/>
                    </w:rPr>
                    <w:t>10</w:t>
                  </w:r>
                </w:p>
              </w:tc>
              <w:tc>
                <w:tcPr>
                  <w:tcW w:w="282" w:type="pct"/>
                  <w:tcBorders>
                    <w:tl2br w:val="nil"/>
                    <w:tr2bl w:val="nil"/>
                  </w:tcBorders>
                  <w:shd w:val="clear" w:color="auto" w:fill="auto"/>
                  <w:vAlign w:val="center"/>
                </w:tcPr>
                <w:p w14:paraId="0AEA0942">
                  <w:pPr>
                    <w:pStyle w:val="38"/>
                    <w:bidi w:val="0"/>
                  </w:pPr>
                  <w:r>
                    <w:rPr>
                      <w:rFonts w:hint="eastAsia"/>
                      <w:lang w:val="en-US" w:eastAsia="zh-CN"/>
                    </w:rPr>
                    <w:t>1</w:t>
                  </w:r>
                </w:p>
              </w:tc>
              <w:tc>
                <w:tcPr>
                  <w:tcW w:w="282" w:type="pct"/>
                  <w:tcBorders>
                    <w:tl2br w:val="nil"/>
                    <w:tr2bl w:val="nil"/>
                  </w:tcBorders>
                  <w:shd w:val="clear" w:color="auto" w:fill="auto"/>
                  <w:vAlign w:val="center"/>
                </w:tcPr>
                <w:p w14:paraId="5A1244E9">
                  <w:pPr>
                    <w:pStyle w:val="38"/>
                  </w:pPr>
                  <w:r>
                    <w:t xml:space="preserve">5.0 </w:t>
                  </w:r>
                </w:p>
              </w:tc>
              <w:tc>
                <w:tcPr>
                  <w:tcW w:w="282" w:type="pct"/>
                  <w:tcBorders>
                    <w:tl2br w:val="nil"/>
                    <w:tr2bl w:val="nil"/>
                  </w:tcBorders>
                  <w:shd w:val="clear" w:color="auto" w:fill="auto"/>
                  <w:vAlign w:val="center"/>
                </w:tcPr>
                <w:p w14:paraId="47A77197">
                  <w:pPr>
                    <w:pStyle w:val="38"/>
                  </w:pPr>
                  <w:r>
                    <w:t xml:space="preserve">52.50 </w:t>
                  </w:r>
                </w:p>
              </w:tc>
              <w:tc>
                <w:tcPr>
                  <w:tcW w:w="282" w:type="pct"/>
                  <w:vMerge w:val="continue"/>
                  <w:tcBorders>
                    <w:tl2br w:val="nil"/>
                    <w:tr2bl w:val="nil"/>
                  </w:tcBorders>
                  <w:shd w:val="clear" w:color="auto" w:fill="auto"/>
                  <w:vAlign w:val="center"/>
                </w:tcPr>
                <w:p w14:paraId="418EFD65">
                  <w:pPr>
                    <w:jc w:val="center"/>
                    <w:rPr>
                      <w:szCs w:val="21"/>
                    </w:rPr>
                  </w:pPr>
                </w:p>
              </w:tc>
              <w:tc>
                <w:tcPr>
                  <w:tcW w:w="282" w:type="pct"/>
                  <w:tcBorders>
                    <w:tl2br w:val="nil"/>
                    <w:tr2bl w:val="nil"/>
                  </w:tcBorders>
                  <w:shd w:val="clear" w:color="auto" w:fill="auto"/>
                  <w:vAlign w:val="center"/>
                </w:tcPr>
                <w:p w14:paraId="2A9CB7DA">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76E6AA6D">
                  <w:pPr>
                    <w:pStyle w:val="38"/>
                  </w:pPr>
                  <w:r>
                    <w:t xml:space="preserve">37.50 </w:t>
                  </w:r>
                </w:p>
              </w:tc>
              <w:tc>
                <w:tcPr>
                  <w:tcW w:w="283" w:type="pct"/>
                  <w:tcBorders>
                    <w:tl2br w:val="nil"/>
                    <w:tr2bl w:val="nil"/>
                  </w:tcBorders>
                  <w:shd w:val="clear" w:color="auto" w:fill="auto"/>
                  <w:vAlign w:val="center"/>
                </w:tcPr>
                <w:p w14:paraId="1BF5153C">
                  <w:pPr>
                    <w:pStyle w:val="38"/>
                  </w:pPr>
                  <w:r>
                    <w:rPr>
                      <w:rFonts w:hint="eastAsia"/>
                    </w:rPr>
                    <w:t>1</w:t>
                  </w:r>
                </w:p>
              </w:tc>
            </w:tr>
            <w:tr w14:paraId="2B8108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21F66F6D">
                  <w:pPr>
                    <w:widowControl/>
                    <w:numPr>
                      <w:ilvl w:val="0"/>
                      <w:numId w:val="12"/>
                    </w:numPr>
                    <w:tabs>
                      <w:tab w:val="clear" w:pos="0"/>
                    </w:tabs>
                    <w:jc w:val="center"/>
                    <w:textAlignment w:val="center"/>
                    <w:rPr>
                      <w:szCs w:val="21"/>
                    </w:rPr>
                  </w:pPr>
                </w:p>
              </w:tc>
              <w:tc>
                <w:tcPr>
                  <w:tcW w:w="429" w:type="pct"/>
                  <w:tcBorders>
                    <w:tl2br w:val="nil"/>
                    <w:tr2bl w:val="nil"/>
                  </w:tcBorders>
                  <w:shd w:val="clear" w:color="auto" w:fill="auto"/>
                  <w:vAlign w:val="center"/>
                </w:tcPr>
                <w:p w14:paraId="46ABF9F6">
                  <w:pPr>
                    <w:jc w:val="center"/>
                    <w:rPr>
                      <w:kern w:val="0"/>
                      <w:szCs w:val="21"/>
                    </w:rPr>
                  </w:pPr>
                  <w:r>
                    <w:t>鼓风机房</w:t>
                  </w:r>
                </w:p>
              </w:tc>
              <w:tc>
                <w:tcPr>
                  <w:tcW w:w="589" w:type="pct"/>
                  <w:tcBorders>
                    <w:tl2br w:val="nil"/>
                    <w:tr2bl w:val="nil"/>
                  </w:tcBorders>
                  <w:shd w:val="clear" w:color="auto" w:fill="auto"/>
                  <w:vAlign w:val="center"/>
                </w:tcPr>
                <w:p w14:paraId="0AA26B7D">
                  <w:pPr>
                    <w:pStyle w:val="38"/>
                    <w:rPr>
                      <w:rFonts w:hint="eastAsia" w:eastAsia="宋体"/>
                      <w:lang w:eastAsia="zh-CN"/>
                    </w:rPr>
                  </w:pPr>
                  <w:r>
                    <w:rPr>
                      <w:rFonts w:hint="eastAsia"/>
                      <w:lang w:val="en-US" w:eastAsia="zh-CN"/>
                    </w:rPr>
                    <w:t>罗茨鼓风机</w:t>
                  </w:r>
                </w:p>
              </w:tc>
              <w:tc>
                <w:tcPr>
                  <w:tcW w:w="485" w:type="pct"/>
                  <w:tcBorders>
                    <w:tl2br w:val="nil"/>
                    <w:tr2bl w:val="nil"/>
                  </w:tcBorders>
                  <w:shd w:val="clear" w:color="auto" w:fill="auto"/>
                  <w:vAlign w:val="center"/>
                </w:tcPr>
                <w:p w14:paraId="56251A38">
                  <w:pPr>
                    <w:pStyle w:val="38"/>
                    <w:bidi w:val="0"/>
                  </w:pPr>
                  <w:r>
                    <w:rPr>
                      <w:rFonts w:hint="eastAsia"/>
                      <w:lang w:val="en-US" w:eastAsia="zh-CN"/>
                    </w:rPr>
                    <w:t>2</w:t>
                  </w:r>
                </w:p>
              </w:tc>
              <w:tc>
                <w:tcPr>
                  <w:tcW w:w="485" w:type="pct"/>
                  <w:tcBorders>
                    <w:tl2br w:val="nil"/>
                    <w:tr2bl w:val="nil"/>
                  </w:tcBorders>
                  <w:shd w:val="clear" w:color="auto" w:fill="auto"/>
                  <w:vAlign w:val="center"/>
                </w:tcPr>
                <w:p w14:paraId="49922C92">
                  <w:pPr>
                    <w:pStyle w:val="38"/>
                  </w:pPr>
                  <w:r>
                    <w:t>85</w:t>
                  </w:r>
                </w:p>
              </w:tc>
              <w:tc>
                <w:tcPr>
                  <w:tcW w:w="282" w:type="pct"/>
                  <w:vMerge w:val="continue"/>
                  <w:tcBorders>
                    <w:tl2br w:val="nil"/>
                    <w:tr2bl w:val="nil"/>
                  </w:tcBorders>
                  <w:shd w:val="clear" w:color="auto" w:fill="auto"/>
                  <w:vAlign w:val="center"/>
                </w:tcPr>
                <w:p w14:paraId="19223E21">
                  <w:pPr>
                    <w:jc w:val="center"/>
                    <w:rPr>
                      <w:szCs w:val="21"/>
                    </w:rPr>
                  </w:pPr>
                </w:p>
              </w:tc>
              <w:tc>
                <w:tcPr>
                  <w:tcW w:w="282" w:type="pct"/>
                  <w:tcBorders>
                    <w:tl2br w:val="nil"/>
                    <w:tr2bl w:val="nil"/>
                  </w:tcBorders>
                  <w:shd w:val="clear" w:color="auto" w:fill="auto"/>
                  <w:vAlign w:val="center"/>
                </w:tcPr>
                <w:p w14:paraId="4D151D2E">
                  <w:pPr>
                    <w:jc w:val="center"/>
                    <w:rPr>
                      <w:szCs w:val="21"/>
                    </w:rPr>
                  </w:pPr>
                  <w:r>
                    <w:rPr>
                      <w:rFonts w:hint="eastAsia"/>
                      <w:szCs w:val="21"/>
                    </w:rPr>
                    <w:t>-28</w:t>
                  </w:r>
                </w:p>
              </w:tc>
              <w:tc>
                <w:tcPr>
                  <w:tcW w:w="282" w:type="pct"/>
                  <w:tcBorders>
                    <w:tl2br w:val="nil"/>
                    <w:tr2bl w:val="nil"/>
                  </w:tcBorders>
                  <w:shd w:val="clear" w:color="auto" w:fill="auto"/>
                  <w:vAlign w:val="center"/>
                </w:tcPr>
                <w:p w14:paraId="19BFA3B3">
                  <w:pPr>
                    <w:jc w:val="center"/>
                    <w:rPr>
                      <w:szCs w:val="21"/>
                    </w:rPr>
                  </w:pPr>
                  <w:r>
                    <w:rPr>
                      <w:rFonts w:hint="eastAsia"/>
                      <w:szCs w:val="21"/>
                    </w:rPr>
                    <w:t>10</w:t>
                  </w:r>
                </w:p>
              </w:tc>
              <w:tc>
                <w:tcPr>
                  <w:tcW w:w="282" w:type="pct"/>
                  <w:tcBorders>
                    <w:tl2br w:val="nil"/>
                    <w:tr2bl w:val="nil"/>
                  </w:tcBorders>
                  <w:shd w:val="clear" w:color="auto" w:fill="auto"/>
                  <w:vAlign w:val="center"/>
                </w:tcPr>
                <w:p w14:paraId="45E84FFF">
                  <w:pPr>
                    <w:pStyle w:val="38"/>
                    <w:bidi w:val="0"/>
                  </w:pPr>
                  <w:r>
                    <w:rPr>
                      <w:rFonts w:hint="eastAsia"/>
                      <w:lang w:val="en-US" w:eastAsia="zh-CN"/>
                    </w:rPr>
                    <w:t>1</w:t>
                  </w:r>
                </w:p>
              </w:tc>
              <w:tc>
                <w:tcPr>
                  <w:tcW w:w="282" w:type="pct"/>
                  <w:tcBorders>
                    <w:tl2br w:val="nil"/>
                    <w:tr2bl w:val="nil"/>
                  </w:tcBorders>
                  <w:shd w:val="clear" w:color="auto" w:fill="auto"/>
                  <w:vAlign w:val="center"/>
                </w:tcPr>
                <w:p w14:paraId="09C1639B">
                  <w:pPr>
                    <w:pStyle w:val="38"/>
                  </w:pPr>
                  <w:r>
                    <w:t xml:space="preserve">10.0 </w:t>
                  </w:r>
                </w:p>
              </w:tc>
              <w:tc>
                <w:tcPr>
                  <w:tcW w:w="282" w:type="pct"/>
                  <w:tcBorders>
                    <w:tl2br w:val="nil"/>
                    <w:tr2bl w:val="nil"/>
                  </w:tcBorders>
                  <w:shd w:val="clear" w:color="auto" w:fill="auto"/>
                  <w:vAlign w:val="center"/>
                </w:tcPr>
                <w:p w14:paraId="331772B8">
                  <w:pPr>
                    <w:pStyle w:val="38"/>
                  </w:pPr>
                  <w:r>
                    <w:t xml:space="preserve">53.98 </w:t>
                  </w:r>
                </w:p>
              </w:tc>
              <w:tc>
                <w:tcPr>
                  <w:tcW w:w="282" w:type="pct"/>
                  <w:vMerge w:val="continue"/>
                  <w:tcBorders>
                    <w:tl2br w:val="nil"/>
                    <w:tr2bl w:val="nil"/>
                  </w:tcBorders>
                  <w:shd w:val="clear" w:color="auto" w:fill="auto"/>
                  <w:vAlign w:val="center"/>
                </w:tcPr>
                <w:p w14:paraId="749FBD13">
                  <w:pPr>
                    <w:jc w:val="center"/>
                    <w:rPr>
                      <w:szCs w:val="21"/>
                    </w:rPr>
                  </w:pPr>
                </w:p>
              </w:tc>
              <w:tc>
                <w:tcPr>
                  <w:tcW w:w="282" w:type="pct"/>
                  <w:tcBorders>
                    <w:tl2br w:val="nil"/>
                    <w:tr2bl w:val="nil"/>
                  </w:tcBorders>
                  <w:shd w:val="clear" w:color="auto" w:fill="auto"/>
                  <w:vAlign w:val="center"/>
                </w:tcPr>
                <w:p w14:paraId="75DA1234">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62E5039B">
                  <w:pPr>
                    <w:pStyle w:val="38"/>
                  </w:pPr>
                  <w:r>
                    <w:t xml:space="preserve">38.98 </w:t>
                  </w:r>
                </w:p>
              </w:tc>
              <w:tc>
                <w:tcPr>
                  <w:tcW w:w="283" w:type="pct"/>
                  <w:tcBorders>
                    <w:tl2br w:val="nil"/>
                    <w:tr2bl w:val="nil"/>
                  </w:tcBorders>
                  <w:shd w:val="clear" w:color="auto" w:fill="auto"/>
                  <w:vAlign w:val="center"/>
                </w:tcPr>
                <w:p w14:paraId="0D9E5707">
                  <w:pPr>
                    <w:pStyle w:val="38"/>
                  </w:pPr>
                  <w:r>
                    <w:rPr>
                      <w:rFonts w:hint="eastAsia"/>
                    </w:rPr>
                    <w:t>1</w:t>
                  </w:r>
                </w:p>
              </w:tc>
            </w:tr>
            <w:tr w14:paraId="2B95A5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2F6ACF6A">
                  <w:pPr>
                    <w:widowControl/>
                    <w:numPr>
                      <w:ilvl w:val="0"/>
                      <w:numId w:val="12"/>
                    </w:numPr>
                    <w:tabs>
                      <w:tab w:val="clear" w:pos="0"/>
                    </w:tabs>
                    <w:jc w:val="center"/>
                    <w:textAlignment w:val="center"/>
                    <w:rPr>
                      <w:szCs w:val="21"/>
                    </w:rPr>
                  </w:pPr>
                </w:p>
              </w:tc>
              <w:tc>
                <w:tcPr>
                  <w:tcW w:w="429" w:type="pct"/>
                  <w:vMerge w:val="restart"/>
                  <w:tcBorders>
                    <w:tl2br w:val="nil"/>
                    <w:tr2bl w:val="nil"/>
                  </w:tcBorders>
                  <w:shd w:val="clear" w:color="auto" w:fill="auto"/>
                  <w:vAlign w:val="center"/>
                </w:tcPr>
                <w:p w14:paraId="34CDD626">
                  <w:pPr>
                    <w:jc w:val="center"/>
                    <w:rPr>
                      <w:kern w:val="0"/>
                      <w:szCs w:val="21"/>
                    </w:rPr>
                  </w:pPr>
                  <w:r>
                    <w:t>加药系统</w:t>
                  </w:r>
                </w:p>
              </w:tc>
              <w:tc>
                <w:tcPr>
                  <w:tcW w:w="589" w:type="pct"/>
                  <w:tcBorders>
                    <w:tl2br w:val="nil"/>
                    <w:tr2bl w:val="nil"/>
                  </w:tcBorders>
                  <w:shd w:val="clear" w:color="auto" w:fill="auto"/>
                  <w:vAlign w:val="center"/>
                </w:tcPr>
                <w:p w14:paraId="62561483">
                  <w:pPr>
                    <w:jc w:val="center"/>
                    <w:rPr>
                      <w:rFonts w:ascii="Times New Roman" w:hAnsi="Times New Roman" w:eastAsia="宋体" w:cs="Times New Roman"/>
                      <w:kern w:val="2"/>
                      <w:sz w:val="21"/>
                      <w:szCs w:val="21"/>
                      <w:lang w:val="en-US" w:eastAsia="zh-CN" w:bidi="ar-SA"/>
                    </w:rPr>
                  </w:pPr>
                  <w:r>
                    <w:rPr>
                      <w:rFonts w:hint="eastAsia"/>
                    </w:rPr>
                    <w:t>PAC加药泵</w:t>
                  </w:r>
                </w:p>
              </w:tc>
              <w:tc>
                <w:tcPr>
                  <w:tcW w:w="485" w:type="pct"/>
                  <w:tcBorders>
                    <w:tl2br w:val="nil"/>
                    <w:tr2bl w:val="nil"/>
                  </w:tcBorders>
                  <w:shd w:val="clear" w:color="auto" w:fill="auto"/>
                  <w:vAlign w:val="center"/>
                </w:tcPr>
                <w:p w14:paraId="62EF0996">
                  <w:pPr>
                    <w:pStyle w:val="38"/>
                    <w:rPr>
                      <w:rFonts w:hint="eastAsia" w:ascii="Times New Roman" w:hAnsi="Times New Roman" w:eastAsia="宋体" w:cs="Times New Roman"/>
                      <w:kern w:val="2"/>
                      <w:sz w:val="21"/>
                      <w:szCs w:val="21"/>
                      <w:lang w:val="en-US" w:eastAsia="zh-CN" w:bidi="ar-SA"/>
                    </w:rPr>
                  </w:pPr>
                  <w:r>
                    <w:rPr>
                      <w:rFonts w:hint="eastAsia"/>
                      <w:lang w:val="en-US" w:eastAsia="zh-CN"/>
                    </w:rPr>
                    <w:t>1</w:t>
                  </w:r>
                </w:p>
              </w:tc>
              <w:tc>
                <w:tcPr>
                  <w:tcW w:w="485" w:type="pct"/>
                  <w:tcBorders>
                    <w:tl2br w:val="nil"/>
                    <w:tr2bl w:val="nil"/>
                  </w:tcBorders>
                  <w:shd w:val="clear" w:color="auto" w:fill="auto"/>
                  <w:vAlign w:val="center"/>
                </w:tcPr>
                <w:p w14:paraId="63DB0B78">
                  <w:pPr>
                    <w:pStyle w:val="38"/>
                    <w:rPr>
                      <w:rFonts w:ascii="Times New Roman" w:hAnsi="Times New Roman" w:eastAsia="宋体" w:cs="Times New Roman"/>
                      <w:kern w:val="2"/>
                      <w:sz w:val="21"/>
                      <w:szCs w:val="21"/>
                      <w:lang w:val="en-US" w:eastAsia="zh-CN" w:bidi="ar-SA"/>
                    </w:rPr>
                  </w:pPr>
                  <w:r>
                    <w:t>70</w:t>
                  </w:r>
                </w:p>
              </w:tc>
              <w:tc>
                <w:tcPr>
                  <w:tcW w:w="282" w:type="pct"/>
                  <w:vMerge w:val="continue"/>
                  <w:tcBorders>
                    <w:tl2br w:val="nil"/>
                    <w:tr2bl w:val="nil"/>
                  </w:tcBorders>
                  <w:shd w:val="clear" w:color="auto" w:fill="auto"/>
                  <w:vAlign w:val="center"/>
                </w:tcPr>
                <w:p w14:paraId="1C24D2F2">
                  <w:pPr>
                    <w:jc w:val="center"/>
                    <w:rPr>
                      <w:szCs w:val="21"/>
                    </w:rPr>
                  </w:pPr>
                </w:p>
              </w:tc>
              <w:tc>
                <w:tcPr>
                  <w:tcW w:w="282" w:type="pct"/>
                  <w:tcBorders>
                    <w:tl2br w:val="nil"/>
                    <w:tr2bl w:val="nil"/>
                  </w:tcBorders>
                  <w:shd w:val="clear" w:color="auto" w:fill="auto"/>
                  <w:vAlign w:val="center"/>
                </w:tcPr>
                <w:p w14:paraId="3EBCF924">
                  <w:pPr>
                    <w:jc w:val="center"/>
                    <w:rPr>
                      <w:rFonts w:ascii="Times New Roman" w:hAnsi="Times New Roman" w:eastAsia="宋体" w:cs="Times New Roman"/>
                      <w:kern w:val="2"/>
                      <w:sz w:val="21"/>
                      <w:szCs w:val="21"/>
                      <w:lang w:val="en-US" w:eastAsia="zh-CN" w:bidi="ar-SA"/>
                    </w:rPr>
                  </w:pPr>
                  <w:r>
                    <w:rPr>
                      <w:rFonts w:hint="eastAsia"/>
                      <w:szCs w:val="21"/>
                    </w:rPr>
                    <w:t>-28</w:t>
                  </w:r>
                </w:p>
              </w:tc>
              <w:tc>
                <w:tcPr>
                  <w:tcW w:w="282" w:type="pct"/>
                  <w:tcBorders>
                    <w:tl2br w:val="nil"/>
                    <w:tr2bl w:val="nil"/>
                  </w:tcBorders>
                  <w:shd w:val="clear" w:color="auto" w:fill="auto"/>
                  <w:vAlign w:val="center"/>
                </w:tcPr>
                <w:p w14:paraId="2605FFB3">
                  <w:pPr>
                    <w:jc w:val="center"/>
                    <w:rPr>
                      <w:rFonts w:ascii="Times New Roman" w:hAnsi="Times New Roman" w:eastAsia="宋体" w:cs="Times New Roman"/>
                      <w:kern w:val="2"/>
                      <w:sz w:val="21"/>
                      <w:szCs w:val="21"/>
                      <w:lang w:val="en-US" w:eastAsia="zh-CN" w:bidi="ar-SA"/>
                    </w:rPr>
                  </w:pPr>
                  <w:r>
                    <w:rPr>
                      <w:rFonts w:hint="eastAsia"/>
                      <w:szCs w:val="21"/>
                    </w:rPr>
                    <w:t>10</w:t>
                  </w:r>
                </w:p>
              </w:tc>
              <w:tc>
                <w:tcPr>
                  <w:tcW w:w="282" w:type="pct"/>
                  <w:tcBorders>
                    <w:tl2br w:val="nil"/>
                    <w:tr2bl w:val="nil"/>
                  </w:tcBorders>
                  <w:shd w:val="clear" w:color="auto" w:fill="auto"/>
                  <w:vAlign w:val="center"/>
                </w:tcPr>
                <w:p w14:paraId="462E27C1">
                  <w:pPr>
                    <w:pStyle w:val="38"/>
                    <w:bidi w:val="0"/>
                    <w:rPr>
                      <w:lang w:val="en-US" w:eastAsia="zh-CN"/>
                    </w:rPr>
                  </w:pPr>
                  <w:r>
                    <w:rPr>
                      <w:rFonts w:hint="eastAsia"/>
                      <w:lang w:val="en-US" w:eastAsia="zh-CN"/>
                    </w:rPr>
                    <w:t>1</w:t>
                  </w:r>
                </w:p>
              </w:tc>
              <w:tc>
                <w:tcPr>
                  <w:tcW w:w="282" w:type="pct"/>
                  <w:tcBorders>
                    <w:tl2br w:val="nil"/>
                    <w:tr2bl w:val="nil"/>
                  </w:tcBorders>
                  <w:shd w:val="clear" w:color="auto" w:fill="auto"/>
                  <w:vAlign w:val="center"/>
                </w:tcPr>
                <w:p w14:paraId="16B5F767">
                  <w:pPr>
                    <w:pStyle w:val="38"/>
                    <w:rPr>
                      <w:rFonts w:ascii="Times New Roman" w:hAnsi="Times New Roman" w:eastAsia="宋体" w:cs="Times New Roman"/>
                      <w:kern w:val="2"/>
                      <w:sz w:val="21"/>
                      <w:szCs w:val="21"/>
                      <w:lang w:val="en-US" w:eastAsia="zh-CN" w:bidi="ar-SA"/>
                    </w:rPr>
                  </w:pPr>
                  <w:r>
                    <w:t xml:space="preserve">5.0 </w:t>
                  </w:r>
                </w:p>
              </w:tc>
              <w:tc>
                <w:tcPr>
                  <w:tcW w:w="282" w:type="pct"/>
                  <w:tcBorders>
                    <w:tl2br w:val="nil"/>
                    <w:tr2bl w:val="nil"/>
                  </w:tcBorders>
                  <w:shd w:val="clear" w:color="auto" w:fill="auto"/>
                  <w:vAlign w:val="center"/>
                </w:tcPr>
                <w:p w14:paraId="55BAB93E">
                  <w:pPr>
                    <w:pStyle w:val="38"/>
                    <w:rPr>
                      <w:rFonts w:ascii="Times New Roman" w:hAnsi="Times New Roman" w:eastAsia="宋体" w:cs="Times New Roman"/>
                      <w:kern w:val="2"/>
                      <w:sz w:val="21"/>
                      <w:szCs w:val="21"/>
                      <w:lang w:val="en-US" w:eastAsia="zh-CN" w:bidi="ar-SA"/>
                    </w:rPr>
                  </w:pPr>
                  <w:r>
                    <w:t xml:space="preserve">61.02 </w:t>
                  </w:r>
                </w:p>
              </w:tc>
              <w:tc>
                <w:tcPr>
                  <w:tcW w:w="282" w:type="pct"/>
                  <w:vMerge w:val="continue"/>
                  <w:tcBorders>
                    <w:tl2br w:val="nil"/>
                    <w:tr2bl w:val="nil"/>
                  </w:tcBorders>
                  <w:shd w:val="clear" w:color="auto" w:fill="auto"/>
                  <w:vAlign w:val="center"/>
                </w:tcPr>
                <w:p w14:paraId="268853AB">
                  <w:pPr>
                    <w:jc w:val="center"/>
                    <w:rPr>
                      <w:szCs w:val="21"/>
                    </w:rPr>
                  </w:pPr>
                </w:p>
              </w:tc>
              <w:tc>
                <w:tcPr>
                  <w:tcW w:w="282" w:type="pct"/>
                  <w:tcBorders>
                    <w:tl2br w:val="nil"/>
                    <w:tr2bl w:val="nil"/>
                  </w:tcBorders>
                  <w:shd w:val="clear" w:color="auto" w:fill="auto"/>
                  <w:vAlign w:val="center"/>
                </w:tcPr>
                <w:p w14:paraId="3BAE17B2">
                  <w:pPr>
                    <w:jc w:val="center"/>
                    <w:rPr>
                      <w:rFonts w:ascii="Times New Roman" w:hAnsi="Times New Roman" w:eastAsia="宋体" w:cs="Times New Roman"/>
                      <w:kern w:val="2"/>
                      <w:sz w:val="21"/>
                      <w:szCs w:val="21"/>
                      <w:lang w:val="en-US" w:eastAsia="zh-CN" w:bidi="ar-SA"/>
                    </w:rPr>
                  </w:pPr>
                  <w:r>
                    <w:rPr>
                      <w:szCs w:val="21"/>
                    </w:rPr>
                    <w:t>1</w:t>
                  </w:r>
                  <w:r>
                    <w:rPr>
                      <w:rFonts w:hint="eastAsia"/>
                      <w:szCs w:val="21"/>
                    </w:rPr>
                    <w:t>5</w:t>
                  </w:r>
                </w:p>
              </w:tc>
              <w:tc>
                <w:tcPr>
                  <w:tcW w:w="282" w:type="pct"/>
                  <w:tcBorders>
                    <w:tl2br w:val="nil"/>
                    <w:tr2bl w:val="nil"/>
                  </w:tcBorders>
                  <w:shd w:val="clear" w:color="auto" w:fill="auto"/>
                  <w:vAlign w:val="center"/>
                </w:tcPr>
                <w:p w14:paraId="76D6B10B">
                  <w:pPr>
                    <w:pStyle w:val="38"/>
                    <w:rPr>
                      <w:rFonts w:ascii="Times New Roman" w:hAnsi="Times New Roman" w:eastAsia="宋体" w:cs="Times New Roman"/>
                      <w:kern w:val="2"/>
                      <w:sz w:val="21"/>
                      <w:szCs w:val="21"/>
                      <w:lang w:val="en-US" w:eastAsia="zh-CN" w:bidi="ar-SA"/>
                    </w:rPr>
                  </w:pPr>
                  <w:r>
                    <w:t xml:space="preserve">46.02 </w:t>
                  </w:r>
                </w:p>
              </w:tc>
              <w:tc>
                <w:tcPr>
                  <w:tcW w:w="283" w:type="pct"/>
                  <w:tcBorders>
                    <w:tl2br w:val="nil"/>
                    <w:tr2bl w:val="nil"/>
                  </w:tcBorders>
                  <w:shd w:val="clear" w:color="auto" w:fill="auto"/>
                  <w:vAlign w:val="center"/>
                </w:tcPr>
                <w:p w14:paraId="51DB98B2">
                  <w:pPr>
                    <w:pStyle w:val="38"/>
                    <w:rPr>
                      <w:rFonts w:ascii="Times New Roman" w:hAnsi="Times New Roman" w:eastAsia="宋体" w:cs="Times New Roman"/>
                      <w:kern w:val="2"/>
                      <w:sz w:val="21"/>
                      <w:szCs w:val="21"/>
                      <w:lang w:val="en-US" w:eastAsia="zh-CN" w:bidi="ar-SA"/>
                    </w:rPr>
                  </w:pPr>
                  <w:r>
                    <w:rPr>
                      <w:rFonts w:hint="eastAsia"/>
                    </w:rPr>
                    <w:t>1</w:t>
                  </w:r>
                </w:p>
              </w:tc>
            </w:tr>
            <w:tr w14:paraId="16C7C2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2B728029">
                  <w:pPr>
                    <w:widowControl/>
                    <w:numPr>
                      <w:ilvl w:val="0"/>
                      <w:numId w:val="12"/>
                    </w:numPr>
                    <w:tabs>
                      <w:tab w:val="clear" w:pos="0"/>
                    </w:tabs>
                    <w:jc w:val="center"/>
                    <w:textAlignment w:val="center"/>
                    <w:rPr>
                      <w:szCs w:val="21"/>
                    </w:rPr>
                  </w:pPr>
                </w:p>
              </w:tc>
              <w:tc>
                <w:tcPr>
                  <w:tcW w:w="429" w:type="pct"/>
                  <w:vMerge w:val="continue"/>
                  <w:tcBorders>
                    <w:tl2br w:val="nil"/>
                    <w:tr2bl w:val="nil"/>
                  </w:tcBorders>
                  <w:shd w:val="clear" w:color="auto" w:fill="auto"/>
                  <w:vAlign w:val="center"/>
                </w:tcPr>
                <w:p w14:paraId="57B0B94D">
                  <w:pPr>
                    <w:jc w:val="center"/>
                    <w:rPr>
                      <w:kern w:val="0"/>
                      <w:szCs w:val="21"/>
                    </w:rPr>
                  </w:pPr>
                </w:p>
              </w:tc>
              <w:tc>
                <w:tcPr>
                  <w:tcW w:w="589" w:type="pct"/>
                  <w:tcBorders>
                    <w:tl2br w:val="nil"/>
                    <w:tr2bl w:val="nil"/>
                  </w:tcBorders>
                  <w:shd w:val="clear" w:color="auto" w:fill="auto"/>
                  <w:vAlign w:val="center"/>
                </w:tcPr>
                <w:p w14:paraId="128AE668">
                  <w:pPr>
                    <w:jc w:val="center"/>
                    <w:rPr>
                      <w:rFonts w:ascii="Times New Roman" w:hAnsi="Times New Roman" w:eastAsia="宋体" w:cs="Times New Roman"/>
                      <w:kern w:val="2"/>
                      <w:sz w:val="21"/>
                      <w:szCs w:val="21"/>
                      <w:lang w:val="en-US" w:eastAsia="zh-CN" w:bidi="ar-SA"/>
                    </w:rPr>
                  </w:pPr>
                  <w:r>
                    <w:rPr>
                      <w:rFonts w:hint="eastAsia"/>
                    </w:rPr>
                    <w:t>PAM加药泵</w:t>
                  </w:r>
                </w:p>
              </w:tc>
              <w:tc>
                <w:tcPr>
                  <w:tcW w:w="485" w:type="pct"/>
                  <w:tcBorders>
                    <w:tl2br w:val="nil"/>
                    <w:tr2bl w:val="nil"/>
                  </w:tcBorders>
                  <w:shd w:val="clear" w:color="auto" w:fill="auto"/>
                  <w:vAlign w:val="center"/>
                </w:tcPr>
                <w:p w14:paraId="6D0C78EE">
                  <w:pPr>
                    <w:pStyle w:val="38"/>
                    <w:rPr>
                      <w:rFonts w:hint="eastAsia" w:ascii="Times New Roman" w:hAnsi="Times New Roman" w:eastAsia="宋体" w:cs="Times New Roman"/>
                      <w:kern w:val="2"/>
                      <w:sz w:val="21"/>
                      <w:szCs w:val="21"/>
                      <w:lang w:val="en-US" w:eastAsia="zh-CN" w:bidi="ar-SA"/>
                    </w:rPr>
                  </w:pPr>
                  <w:r>
                    <w:rPr>
                      <w:rFonts w:hint="eastAsia"/>
                      <w:lang w:val="en-US" w:eastAsia="zh-CN"/>
                    </w:rPr>
                    <w:t>1</w:t>
                  </w:r>
                </w:p>
              </w:tc>
              <w:tc>
                <w:tcPr>
                  <w:tcW w:w="485" w:type="pct"/>
                  <w:tcBorders>
                    <w:tl2br w:val="nil"/>
                    <w:tr2bl w:val="nil"/>
                  </w:tcBorders>
                  <w:shd w:val="clear" w:color="auto" w:fill="auto"/>
                  <w:vAlign w:val="center"/>
                </w:tcPr>
                <w:p w14:paraId="70655430">
                  <w:pPr>
                    <w:pStyle w:val="38"/>
                    <w:rPr>
                      <w:rFonts w:ascii="Times New Roman" w:hAnsi="Times New Roman" w:eastAsia="宋体" w:cs="Times New Roman"/>
                      <w:kern w:val="2"/>
                      <w:sz w:val="21"/>
                      <w:szCs w:val="21"/>
                      <w:lang w:val="en-US" w:eastAsia="zh-CN" w:bidi="ar-SA"/>
                    </w:rPr>
                  </w:pPr>
                  <w:r>
                    <w:t>70</w:t>
                  </w:r>
                </w:p>
              </w:tc>
              <w:tc>
                <w:tcPr>
                  <w:tcW w:w="282" w:type="pct"/>
                  <w:vMerge w:val="continue"/>
                  <w:tcBorders>
                    <w:tl2br w:val="nil"/>
                    <w:tr2bl w:val="nil"/>
                  </w:tcBorders>
                  <w:shd w:val="clear" w:color="auto" w:fill="auto"/>
                  <w:vAlign w:val="center"/>
                </w:tcPr>
                <w:p w14:paraId="0F2C429B">
                  <w:pPr>
                    <w:jc w:val="center"/>
                    <w:rPr>
                      <w:szCs w:val="21"/>
                    </w:rPr>
                  </w:pPr>
                </w:p>
              </w:tc>
              <w:tc>
                <w:tcPr>
                  <w:tcW w:w="282" w:type="pct"/>
                  <w:tcBorders>
                    <w:tl2br w:val="nil"/>
                    <w:tr2bl w:val="nil"/>
                  </w:tcBorders>
                  <w:shd w:val="clear" w:color="auto" w:fill="auto"/>
                  <w:vAlign w:val="center"/>
                </w:tcPr>
                <w:p w14:paraId="3BAECD53">
                  <w:pPr>
                    <w:jc w:val="center"/>
                    <w:rPr>
                      <w:rFonts w:ascii="Times New Roman" w:hAnsi="Times New Roman" w:eastAsia="宋体" w:cs="Times New Roman"/>
                      <w:kern w:val="2"/>
                      <w:sz w:val="21"/>
                      <w:szCs w:val="21"/>
                      <w:lang w:val="en-US" w:eastAsia="zh-CN" w:bidi="ar-SA"/>
                    </w:rPr>
                  </w:pPr>
                  <w:r>
                    <w:rPr>
                      <w:rFonts w:hint="eastAsia"/>
                      <w:szCs w:val="21"/>
                    </w:rPr>
                    <w:t>5</w:t>
                  </w:r>
                </w:p>
              </w:tc>
              <w:tc>
                <w:tcPr>
                  <w:tcW w:w="282" w:type="pct"/>
                  <w:tcBorders>
                    <w:tl2br w:val="nil"/>
                    <w:tr2bl w:val="nil"/>
                  </w:tcBorders>
                  <w:shd w:val="clear" w:color="auto" w:fill="auto"/>
                  <w:vAlign w:val="center"/>
                </w:tcPr>
                <w:p w14:paraId="1EC11FB9">
                  <w:pPr>
                    <w:jc w:val="center"/>
                    <w:rPr>
                      <w:rFonts w:ascii="Times New Roman" w:hAnsi="Times New Roman" w:eastAsia="宋体" w:cs="Times New Roman"/>
                      <w:kern w:val="2"/>
                      <w:sz w:val="21"/>
                      <w:szCs w:val="21"/>
                      <w:lang w:val="en-US" w:eastAsia="zh-CN" w:bidi="ar-SA"/>
                    </w:rPr>
                  </w:pPr>
                  <w:r>
                    <w:rPr>
                      <w:rFonts w:hint="eastAsia"/>
                      <w:szCs w:val="21"/>
                    </w:rPr>
                    <w:t>-10</w:t>
                  </w:r>
                </w:p>
              </w:tc>
              <w:tc>
                <w:tcPr>
                  <w:tcW w:w="282" w:type="pct"/>
                  <w:tcBorders>
                    <w:tl2br w:val="nil"/>
                    <w:tr2bl w:val="nil"/>
                  </w:tcBorders>
                  <w:shd w:val="clear" w:color="auto" w:fill="auto"/>
                  <w:vAlign w:val="center"/>
                </w:tcPr>
                <w:p w14:paraId="13E1CA73">
                  <w:pPr>
                    <w:pStyle w:val="38"/>
                    <w:bidi w:val="0"/>
                    <w:rPr>
                      <w:lang w:val="en-US" w:eastAsia="zh-CN"/>
                    </w:rPr>
                  </w:pPr>
                  <w:r>
                    <w:rPr>
                      <w:rFonts w:hint="eastAsia"/>
                      <w:lang w:val="en-US" w:eastAsia="zh-CN"/>
                    </w:rPr>
                    <w:t>1</w:t>
                  </w:r>
                </w:p>
              </w:tc>
              <w:tc>
                <w:tcPr>
                  <w:tcW w:w="282" w:type="pct"/>
                  <w:tcBorders>
                    <w:tl2br w:val="nil"/>
                    <w:tr2bl w:val="nil"/>
                  </w:tcBorders>
                  <w:shd w:val="clear" w:color="auto" w:fill="auto"/>
                  <w:vAlign w:val="center"/>
                </w:tcPr>
                <w:p w14:paraId="244AA78C">
                  <w:pPr>
                    <w:pStyle w:val="38"/>
                    <w:rPr>
                      <w:rFonts w:ascii="Times New Roman" w:hAnsi="Times New Roman" w:eastAsia="宋体" w:cs="Times New Roman"/>
                      <w:kern w:val="2"/>
                      <w:sz w:val="21"/>
                      <w:szCs w:val="21"/>
                      <w:lang w:val="en-US" w:eastAsia="zh-CN" w:bidi="ar-SA"/>
                    </w:rPr>
                  </w:pPr>
                  <w:r>
                    <w:t xml:space="preserve">5.0 </w:t>
                  </w:r>
                </w:p>
              </w:tc>
              <w:tc>
                <w:tcPr>
                  <w:tcW w:w="282" w:type="pct"/>
                  <w:tcBorders>
                    <w:tl2br w:val="nil"/>
                    <w:tr2bl w:val="nil"/>
                  </w:tcBorders>
                  <w:shd w:val="clear" w:color="auto" w:fill="auto"/>
                  <w:vAlign w:val="center"/>
                </w:tcPr>
                <w:p w14:paraId="070711A7">
                  <w:pPr>
                    <w:pStyle w:val="38"/>
                    <w:rPr>
                      <w:rFonts w:ascii="Times New Roman" w:hAnsi="Times New Roman" w:eastAsia="宋体" w:cs="Times New Roman"/>
                      <w:kern w:val="2"/>
                      <w:sz w:val="21"/>
                      <w:szCs w:val="21"/>
                      <w:lang w:val="en-US" w:eastAsia="zh-CN" w:bidi="ar-SA"/>
                    </w:rPr>
                  </w:pPr>
                  <w:r>
                    <w:t xml:space="preserve">46.02 </w:t>
                  </w:r>
                </w:p>
              </w:tc>
              <w:tc>
                <w:tcPr>
                  <w:tcW w:w="282" w:type="pct"/>
                  <w:vMerge w:val="continue"/>
                  <w:tcBorders>
                    <w:tl2br w:val="nil"/>
                    <w:tr2bl w:val="nil"/>
                  </w:tcBorders>
                  <w:shd w:val="clear" w:color="auto" w:fill="auto"/>
                  <w:vAlign w:val="center"/>
                </w:tcPr>
                <w:p w14:paraId="490BD88C">
                  <w:pPr>
                    <w:jc w:val="center"/>
                    <w:rPr>
                      <w:szCs w:val="21"/>
                    </w:rPr>
                  </w:pPr>
                </w:p>
              </w:tc>
              <w:tc>
                <w:tcPr>
                  <w:tcW w:w="282" w:type="pct"/>
                  <w:tcBorders>
                    <w:tl2br w:val="nil"/>
                    <w:tr2bl w:val="nil"/>
                  </w:tcBorders>
                  <w:shd w:val="clear" w:color="auto" w:fill="auto"/>
                  <w:vAlign w:val="center"/>
                </w:tcPr>
                <w:p w14:paraId="196DAC48">
                  <w:pPr>
                    <w:jc w:val="center"/>
                    <w:rPr>
                      <w:rFonts w:ascii="Times New Roman" w:hAnsi="Times New Roman" w:eastAsia="宋体" w:cs="Times New Roman"/>
                      <w:kern w:val="2"/>
                      <w:sz w:val="21"/>
                      <w:szCs w:val="21"/>
                      <w:lang w:val="en-US" w:eastAsia="zh-CN" w:bidi="ar-SA"/>
                    </w:rPr>
                  </w:pPr>
                  <w:r>
                    <w:rPr>
                      <w:szCs w:val="21"/>
                    </w:rPr>
                    <w:t>1</w:t>
                  </w:r>
                  <w:r>
                    <w:rPr>
                      <w:rFonts w:hint="eastAsia"/>
                      <w:szCs w:val="21"/>
                    </w:rPr>
                    <w:t>5</w:t>
                  </w:r>
                </w:p>
              </w:tc>
              <w:tc>
                <w:tcPr>
                  <w:tcW w:w="282" w:type="pct"/>
                  <w:tcBorders>
                    <w:tl2br w:val="nil"/>
                    <w:tr2bl w:val="nil"/>
                  </w:tcBorders>
                  <w:shd w:val="clear" w:color="auto" w:fill="auto"/>
                  <w:vAlign w:val="center"/>
                </w:tcPr>
                <w:p w14:paraId="75ABA759">
                  <w:pPr>
                    <w:pStyle w:val="38"/>
                    <w:rPr>
                      <w:rFonts w:ascii="Times New Roman" w:hAnsi="Times New Roman" w:eastAsia="宋体" w:cs="Times New Roman"/>
                      <w:kern w:val="2"/>
                      <w:sz w:val="21"/>
                      <w:szCs w:val="21"/>
                      <w:lang w:val="en-US" w:eastAsia="zh-CN" w:bidi="ar-SA"/>
                    </w:rPr>
                  </w:pPr>
                  <w:r>
                    <w:t xml:space="preserve">31.02 </w:t>
                  </w:r>
                </w:p>
              </w:tc>
              <w:tc>
                <w:tcPr>
                  <w:tcW w:w="283" w:type="pct"/>
                  <w:tcBorders>
                    <w:tl2br w:val="nil"/>
                    <w:tr2bl w:val="nil"/>
                  </w:tcBorders>
                  <w:shd w:val="clear" w:color="auto" w:fill="auto"/>
                  <w:vAlign w:val="center"/>
                </w:tcPr>
                <w:p w14:paraId="415442DD">
                  <w:pPr>
                    <w:pStyle w:val="38"/>
                    <w:rPr>
                      <w:rFonts w:ascii="Times New Roman" w:hAnsi="Times New Roman" w:eastAsia="宋体" w:cs="Times New Roman"/>
                      <w:kern w:val="2"/>
                      <w:sz w:val="21"/>
                      <w:szCs w:val="21"/>
                      <w:lang w:val="en-US" w:eastAsia="zh-CN" w:bidi="ar-SA"/>
                    </w:rPr>
                  </w:pPr>
                  <w:r>
                    <w:rPr>
                      <w:rFonts w:hint="eastAsia"/>
                    </w:rPr>
                    <w:t>1</w:t>
                  </w:r>
                </w:p>
              </w:tc>
            </w:tr>
            <w:tr w14:paraId="7AD4F9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7B3F9610">
                  <w:pPr>
                    <w:widowControl/>
                    <w:numPr>
                      <w:ilvl w:val="0"/>
                      <w:numId w:val="12"/>
                    </w:numPr>
                    <w:tabs>
                      <w:tab w:val="clear" w:pos="0"/>
                    </w:tabs>
                    <w:jc w:val="center"/>
                    <w:textAlignment w:val="center"/>
                    <w:rPr>
                      <w:szCs w:val="21"/>
                    </w:rPr>
                  </w:pPr>
                </w:p>
              </w:tc>
              <w:tc>
                <w:tcPr>
                  <w:tcW w:w="429" w:type="pct"/>
                  <w:vMerge w:val="restart"/>
                  <w:tcBorders>
                    <w:tl2br w:val="nil"/>
                    <w:tr2bl w:val="nil"/>
                  </w:tcBorders>
                  <w:shd w:val="clear" w:color="auto" w:fill="auto"/>
                  <w:vAlign w:val="center"/>
                </w:tcPr>
                <w:p w14:paraId="095E5170">
                  <w:pPr>
                    <w:jc w:val="center"/>
                    <w:rPr>
                      <w:kern w:val="0"/>
                      <w:szCs w:val="21"/>
                    </w:rPr>
                  </w:pPr>
                  <w:r>
                    <w:t>污泥脱水</w:t>
                  </w:r>
                </w:p>
              </w:tc>
              <w:tc>
                <w:tcPr>
                  <w:tcW w:w="589" w:type="pct"/>
                  <w:tcBorders>
                    <w:tl2br w:val="nil"/>
                    <w:tr2bl w:val="nil"/>
                  </w:tcBorders>
                  <w:shd w:val="clear" w:color="auto" w:fill="auto"/>
                  <w:vAlign w:val="center"/>
                </w:tcPr>
                <w:p w14:paraId="214B7D89">
                  <w:pPr>
                    <w:pStyle w:val="38"/>
                  </w:pPr>
                  <w:r>
                    <w:t>污泥脱水机</w:t>
                  </w:r>
                </w:p>
              </w:tc>
              <w:tc>
                <w:tcPr>
                  <w:tcW w:w="485" w:type="pct"/>
                  <w:tcBorders>
                    <w:tl2br w:val="nil"/>
                    <w:tr2bl w:val="nil"/>
                  </w:tcBorders>
                  <w:shd w:val="clear" w:color="auto" w:fill="auto"/>
                  <w:vAlign w:val="center"/>
                </w:tcPr>
                <w:p w14:paraId="7875426B">
                  <w:pPr>
                    <w:pStyle w:val="38"/>
                    <w:rPr>
                      <w:rFonts w:hint="eastAsia" w:eastAsia="宋体"/>
                      <w:lang w:eastAsia="zh-CN"/>
                    </w:rPr>
                  </w:pPr>
                  <w:r>
                    <w:rPr>
                      <w:rFonts w:hint="eastAsia"/>
                      <w:lang w:val="en-US" w:eastAsia="zh-CN"/>
                    </w:rPr>
                    <w:t>1</w:t>
                  </w:r>
                </w:p>
              </w:tc>
              <w:tc>
                <w:tcPr>
                  <w:tcW w:w="485" w:type="pct"/>
                  <w:tcBorders>
                    <w:tl2br w:val="nil"/>
                    <w:tr2bl w:val="nil"/>
                  </w:tcBorders>
                  <w:shd w:val="clear" w:color="auto" w:fill="auto"/>
                  <w:vAlign w:val="center"/>
                </w:tcPr>
                <w:p w14:paraId="7774043E">
                  <w:pPr>
                    <w:pStyle w:val="38"/>
                  </w:pPr>
                  <w:r>
                    <w:t>80</w:t>
                  </w:r>
                </w:p>
              </w:tc>
              <w:tc>
                <w:tcPr>
                  <w:tcW w:w="282" w:type="pct"/>
                  <w:vMerge w:val="continue"/>
                  <w:tcBorders>
                    <w:tl2br w:val="nil"/>
                    <w:tr2bl w:val="nil"/>
                  </w:tcBorders>
                  <w:shd w:val="clear" w:color="auto" w:fill="auto"/>
                  <w:vAlign w:val="center"/>
                </w:tcPr>
                <w:p w14:paraId="53C6294D">
                  <w:pPr>
                    <w:jc w:val="center"/>
                    <w:rPr>
                      <w:szCs w:val="21"/>
                    </w:rPr>
                  </w:pPr>
                </w:p>
              </w:tc>
              <w:tc>
                <w:tcPr>
                  <w:tcW w:w="282" w:type="pct"/>
                  <w:tcBorders>
                    <w:tl2br w:val="nil"/>
                    <w:tr2bl w:val="nil"/>
                  </w:tcBorders>
                  <w:shd w:val="clear" w:color="auto" w:fill="auto"/>
                  <w:vAlign w:val="center"/>
                </w:tcPr>
                <w:p w14:paraId="5DAE7336">
                  <w:pPr>
                    <w:jc w:val="center"/>
                    <w:rPr>
                      <w:szCs w:val="21"/>
                    </w:rPr>
                  </w:pPr>
                  <w:r>
                    <w:rPr>
                      <w:rFonts w:hint="eastAsia"/>
                      <w:szCs w:val="21"/>
                    </w:rPr>
                    <w:t>10</w:t>
                  </w:r>
                </w:p>
              </w:tc>
              <w:tc>
                <w:tcPr>
                  <w:tcW w:w="282" w:type="pct"/>
                  <w:tcBorders>
                    <w:tl2br w:val="nil"/>
                    <w:tr2bl w:val="nil"/>
                  </w:tcBorders>
                  <w:shd w:val="clear" w:color="auto" w:fill="auto"/>
                  <w:vAlign w:val="center"/>
                </w:tcPr>
                <w:p w14:paraId="5D50CF8A">
                  <w:pPr>
                    <w:jc w:val="center"/>
                    <w:rPr>
                      <w:szCs w:val="21"/>
                    </w:rPr>
                  </w:pPr>
                  <w:r>
                    <w:rPr>
                      <w:rFonts w:hint="eastAsia"/>
                      <w:szCs w:val="21"/>
                    </w:rPr>
                    <w:t>-10</w:t>
                  </w:r>
                </w:p>
              </w:tc>
              <w:tc>
                <w:tcPr>
                  <w:tcW w:w="282" w:type="pct"/>
                  <w:tcBorders>
                    <w:tl2br w:val="nil"/>
                    <w:tr2bl w:val="nil"/>
                  </w:tcBorders>
                  <w:shd w:val="clear" w:color="auto" w:fill="auto"/>
                  <w:vAlign w:val="center"/>
                </w:tcPr>
                <w:p w14:paraId="308BCE34">
                  <w:pPr>
                    <w:pStyle w:val="38"/>
                    <w:bidi w:val="0"/>
                  </w:pPr>
                  <w:r>
                    <w:rPr>
                      <w:rFonts w:hint="eastAsia"/>
                      <w:lang w:val="en-US" w:eastAsia="zh-CN"/>
                    </w:rPr>
                    <w:t>1</w:t>
                  </w:r>
                </w:p>
              </w:tc>
              <w:tc>
                <w:tcPr>
                  <w:tcW w:w="282" w:type="pct"/>
                  <w:tcBorders>
                    <w:tl2br w:val="nil"/>
                    <w:tr2bl w:val="nil"/>
                  </w:tcBorders>
                  <w:shd w:val="clear" w:color="auto" w:fill="auto"/>
                  <w:vAlign w:val="center"/>
                </w:tcPr>
                <w:p w14:paraId="23D88A5C">
                  <w:pPr>
                    <w:pStyle w:val="38"/>
                  </w:pPr>
                  <w:r>
                    <w:t xml:space="preserve">10.0 </w:t>
                  </w:r>
                </w:p>
              </w:tc>
              <w:tc>
                <w:tcPr>
                  <w:tcW w:w="282" w:type="pct"/>
                  <w:tcBorders>
                    <w:tl2br w:val="nil"/>
                    <w:tr2bl w:val="nil"/>
                  </w:tcBorders>
                  <w:shd w:val="clear" w:color="auto" w:fill="auto"/>
                  <w:vAlign w:val="center"/>
                </w:tcPr>
                <w:p w14:paraId="5298516A">
                  <w:pPr>
                    <w:pStyle w:val="38"/>
                  </w:pPr>
                  <w:r>
                    <w:t xml:space="preserve">50.79 </w:t>
                  </w:r>
                </w:p>
              </w:tc>
              <w:tc>
                <w:tcPr>
                  <w:tcW w:w="282" w:type="pct"/>
                  <w:vMerge w:val="continue"/>
                  <w:tcBorders>
                    <w:tl2br w:val="nil"/>
                    <w:tr2bl w:val="nil"/>
                  </w:tcBorders>
                  <w:shd w:val="clear" w:color="auto" w:fill="auto"/>
                  <w:vAlign w:val="center"/>
                </w:tcPr>
                <w:p w14:paraId="4BC6AF52">
                  <w:pPr>
                    <w:jc w:val="center"/>
                    <w:rPr>
                      <w:szCs w:val="21"/>
                    </w:rPr>
                  </w:pPr>
                </w:p>
              </w:tc>
              <w:tc>
                <w:tcPr>
                  <w:tcW w:w="282" w:type="pct"/>
                  <w:tcBorders>
                    <w:tl2br w:val="nil"/>
                    <w:tr2bl w:val="nil"/>
                  </w:tcBorders>
                  <w:shd w:val="clear" w:color="auto" w:fill="auto"/>
                  <w:vAlign w:val="center"/>
                </w:tcPr>
                <w:p w14:paraId="2E438A57">
                  <w:pPr>
                    <w:jc w:val="center"/>
                    <w:rPr>
                      <w:szCs w:val="21"/>
                    </w:rPr>
                  </w:pPr>
                  <w:r>
                    <w:rPr>
                      <w:szCs w:val="21"/>
                    </w:rPr>
                    <w:t>1</w:t>
                  </w:r>
                  <w:r>
                    <w:rPr>
                      <w:rFonts w:hint="eastAsia"/>
                      <w:szCs w:val="21"/>
                    </w:rPr>
                    <w:t>5</w:t>
                  </w:r>
                </w:p>
              </w:tc>
              <w:tc>
                <w:tcPr>
                  <w:tcW w:w="282" w:type="pct"/>
                  <w:tcBorders>
                    <w:tl2br w:val="nil"/>
                    <w:tr2bl w:val="nil"/>
                  </w:tcBorders>
                  <w:shd w:val="clear" w:color="auto" w:fill="auto"/>
                  <w:vAlign w:val="center"/>
                </w:tcPr>
                <w:p w14:paraId="752758F8">
                  <w:pPr>
                    <w:pStyle w:val="38"/>
                  </w:pPr>
                  <w:r>
                    <w:t xml:space="preserve">35.79 </w:t>
                  </w:r>
                </w:p>
              </w:tc>
              <w:tc>
                <w:tcPr>
                  <w:tcW w:w="283" w:type="pct"/>
                  <w:tcBorders>
                    <w:tl2br w:val="nil"/>
                    <w:tr2bl w:val="nil"/>
                  </w:tcBorders>
                  <w:shd w:val="clear" w:color="auto" w:fill="auto"/>
                  <w:vAlign w:val="center"/>
                </w:tcPr>
                <w:p w14:paraId="5DA057CB">
                  <w:pPr>
                    <w:pStyle w:val="38"/>
                  </w:pPr>
                  <w:r>
                    <w:rPr>
                      <w:rFonts w:hint="eastAsia"/>
                    </w:rPr>
                    <w:t>1</w:t>
                  </w:r>
                </w:p>
              </w:tc>
            </w:tr>
            <w:tr w14:paraId="69B1DE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187" w:type="pct"/>
                  <w:tcBorders>
                    <w:tl2br w:val="nil"/>
                    <w:tr2bl w:val="nil"/>
                  </w:tcBorders>
                  <w:shd w:val="clear" w:color="auto" w:fill="auto"/>
                  <w:vAlign w:val="center"/>
                </w:tcPr>
                <w:p w14:paraId="68F77F7D">
                  <w:pPr>
                    <w:widowControl/>
                    <w:numPr>
                      <w:ilvl w:val="0"/>
                      <w:numId w:val="12"/>
                    </w:numPr>
                    <w:tabs>
                      <w:tab w:val="clear" w:pos="0"/>
                    </w:tabs>
                    <w:jc w:val="center"/>
                    <w:textAlignment w:val="center"/>
                    <w:rPr>
                      <w:szCs w:val="21"/>
                    </w:rPr>
                  </w:pPr>
                </w:p>
              </w:tc>
              <w:tc>
                <w:tcPr>
                  <w:tcW w:w="429" w:type="pct"/>
                  <w:vMerge w:val="continue"/>
                  <w:tcBorders>
                    <w:tl2br w:val="nil"/>
                    <w:tr2bl w:val="nil"/>
                  </w:tcBorders>
                  <w:shd w:val="clear" w:color="auto" w:fill="auto"/>
                  <w:vAlign w:val="center"/>
                </w:tcPr>
                <w:p w14:paraId="5C36410B">
                  <w:pPr>
                    <w:jc w:val="center"/>
                  </w:pPr>
                </w:p>
              </w:tc>
              <w:tc>
                <w:tcPr>
                  <w:tcW w:w="589" w:type="pct"/>
                  <w:tcBorders>
                    <w:tl2br w:val="nil"/>
                    <w:tr2bl w:val="nil"/>
                  </w:tcBorders>
                  <w:shd w:val="clear" w:color="auto" w:fill="auto"/>
                  <w:vAlign w:val="center"/>
                </w:tcPr>
                <w:p w14:paraId="313BB5CB">
                  <w:pPr>
                    <w:pStyle w:val="38"/>
                  </w:pPr>
                  <w:r>
                    <w:rPr>
                      <w:rFonts w:hint="eastAsia"/>
                    </w:rPr>
                    <w:t>污泥泵</w:t>
                  </w:r>
                </w:p>
              </w:tc>
              <w:tc>
                <w:tcPr>
                  <w:tcW w:w="485" w:type="pct"/>
                  <w:tcBorders>
                    <w:tl2br w:val="nil"/>
                    <w:tr2bl w:val="nil"/>
                  </w:tcBorders>
                  <w:shd w:val="clear" w:color="auto" w:fill="auto"/>
                  <w:vAlign w:val="center"/>
                </w:tcPr>
                <w:p w14:paraId="6393F01C">
                  <w:pPr>
                    <w:pStyle w:val="38"/>
                  </w:pPr>
                  <w:r>
                    <w:rPr>
                      <w:rFonts w:hint="eastAsia"/>
                    </w:rPr>
                    <w:t>2</w:t>
                  </w:r>
                </w:p>
              </w:tc>
              <w:tc>
                <w:tcPr>
                  <w:tcW w:w="485" w:type="pct"/>
                  <w:tcBorders>
                    <w:tl2br w:val="nil"/>
                    <w:tr2bl w:val="nil"/>
                  </w:tcBorders>
                  <w:shd w:val="clear" w:color="auto" w:fill="auto"/>
                  <w:vAlign w:val="center"/>
                </w:tcPr>
                <w:p w14:paraId="63C29E98">
                  <w:pPr>
                    <w:pStyle w:val="38"/>
                  </w:pPr>
                  <w:r>
                    <w:t>85</w:t>
                  </w:r>
                </w:p>
              </w:tc>
              <w:tc>
                <w:tcPr>
                  <w:tcW w:w="282" w:type="pct"/>
                  <w:vMerge w:val="continue"/>
                  <w:tcBorders>
                    <w:tl2br w:val="nil"/>
                    <w:tr2bl w:val="nil"/>
                  </w:tcBorders>
                  <w:shd w:val="clear" w:color="auto" w:fill="auto"/>
                  <w:vAlign w:val="center"/>
                </w:tcPr>
                <w:p w14:paraId="173E4C27">
                  <w:pPr>
                    <w:jc w:val="center"/>
                    <w:rPr>
                      <w:szCs w:val="21"/>
                    </w:rPr>
                  </w:pPr>
                </w:p>
              </w:tc>
              <w:tc>
                <w:tcPr>
                  <w:tcW w:w="282" w:type="pct"/>
                  <w:tcBorders>
                    <w:tl2br w:val="nil"/>
                    <w:tr2bl w:val="nil"/>
                  </w:tcBorders>
                  <w:shd w:val="clear" w:color="auto" w:fill="auto"/>
                  <w:vAlign w:val="center"/>
                </w:tcPr>
                <w:p w14:paraId="2DCE188D">
                  <w:pPr>
                    <w:jc w:val="center"/>
                    <w:rPr>
                      <w:szCs w:val="21"/>
                    </w:rPr>
                  </w:pPr>
                  <w:r>
                    <w:rPr>
                      <w:rFonts w:hint="eastAsia"/>
                      <w:szCs w:val="21"/>
                    </w:rPr>
                    <w:t>10</w:t>
                  </w:r>
                </w:p>
              </w:tc>
              <w:tc>
                <w:tcPr>
                  <w:tcW w:w="282" w:type="pct"/>
                  <w:tcBorders>
                    <w:tl2br w:val="nil"/>
                    <w:tr2bl w:val="nil"/>
                  </w:tcBorders>
                  <w:shd w:val="clear" w:color="auto" w:fill="auto"/>
                  <w:vAlign w:val="center"/>
                </w:tcPr>
                <w:p w14:paraId="737AFA50">
                  <w:pPr>
                    <w:jc w:val="center"/>
                    <w:rPr>
                      <w:szCs w:val="21"/>
                    </w:rPr>
                  </w:pPr>
                  <w:r>
                    <w:rPr>
                      <w:rFonts w:hint="eastAsia"/>
                      <w:szCs w:val="21"/>
                    </w:rPr>
                    <w:t>-10</w:t>
                  </w:r>
                </w:p>
              </w:tc>
              <w:tc>
                <w:tcPr>
                  <w:tcW w:w="282" w:type="pct"/>
                  <w:tcBorders>
                    <w:tl2br w:val="nil"/>
                    <w:tr2bl w:val="nil"/>
                  </w:tcBorders>
                  <w:shd w:val="clear" w:color="auto" w:fill="auto"/>
                  <w:vAlign w:val="center"/>
                </w:tcPr>
                <w:p w14:paraId="767A73C4">
                  <w:pPr>
                    <w:pStyle w:val="38"/>
                    <w:bidi w:val="0"/>
                  </w:pPr>
                  <w:r>
                    <w:rPr>
                      <w:rFonts w:hint="eastAsia"/>
                      <w:lang w:val="en-US" w:eastAsia="zh-CN"/>
                    </w:rPr>
                    <w:t>1</w:t>
                  </w:r>
                </w:p>
              </w:tc>
              <w:tc>
                <w:tcPr>
                  <w:tcW w:w="282" w:type="pct"/>
                  <w:tcBorders>
                    <w:tl2br w:val="nil"/>
                    <w:tr2bl w:val="nil"/>
                  </w:tcBorders>
                  <w:shd w:val="clear" w:color="auto" w:fill="auto"/>
                  <w:vAlign w:val="center"/>
                </w:tcPr>
                <w:p w14:paraId="79F38141">
                  <w:pPr>
                    <w:pStyle w:val="38"/>
                  </w:pPr>
                  <w:r>
                    <w:t xml:space="preserve">15.0 </w:t>
                  </w:r>
                </w:p>
              </w:tc>
              <w:tc>
                <w:tcPr>
                  <w:tcW w:w="282" w:type="pct"/>
                  <w:tcBorders>
                    <w:tl2br w:val="nil"/>
                    <w:tr2bl w:val="nil"/>
                  </w:tcBorders>
                  <w:shd w:val="clear" w:color="auto" w:fill="auto"/>
                  <w:vAlign w:val="center"/>
                </w:tcPr>
                <w:p w14:paraId="7376DD23">
                  <w:pPr>
                    <w:pStyle w:val="38"/>
                  </w:pPr>
                  <w:r>
                    <w:t xml:space="preserve">49.03 </w:t>
                  </w:r>
                </w:p>
              </w:tc>
              <w:tc>
                <w:tcPr>
                  <w:tcW w:w="282" w:type="pct"/>
                  <w:vMerge w:val="continue"/>
                  <w:tcBorders>
                    <w:tl2br w:val="nil"/>
                    <w:tr2bl w:val="nil"/>
                  </w:tcBorders>
                  <w:shd w:val="clear" w:color="auto" w:fill="auto"/>
                  <w:vAlign w:val="center"/>
                </w:tcPr>
                <w:p w14:paraId="42DB6843">
                  <w:pPr>
                    <w:jc w:val="center"/>
                    <w:rPr>
                      <w:szCs w:val="21"/>
                    </w:rPr>
                  </w:pPr>
                </w:p>
              </w:tc>
              <w:tc>
                <w:tcPr>
                  <w:tcW w:w="282" w:type="pct"/>
                  <w:tcBorders>
                    <w:tl2br w:val="nil"/>
                    <w:tr2bl w:val="nil"/>
                  </w:tcBorders>
                  <w:shd w:val="clear" w:color="auto" w:fill="auto"/>
                  <w:vAlign w:val="center"/>
                </w:tcPr>
                <w:p w14:paraId="320B3D3E">
                  <w:pPr>
                    <w:jc w:val="center"/>
                    <w:rPr>
                      <w:szCs w:val="21"/>
                    </w:rPr>
                  </w:pPr>
                  <w:r>
                    <w:rPr>
                      <w:rFonts w:hint="eastAsia"/>
                      <w:szCs w:val="21"/>
                    </w:rPr>
                    <w:t>15</w:t>
                  </w:r>
                </w:p>
              </w:tc>
              <w:tc>
                <w:tcPr>
                  <w:tcW w:w="282" w:type="pct"/>
                  <w:tcBorders>
                    <w:tl2br w:val="nil"/>
                    <w:tr2bl w:val="nil"/>
                  </w:tcBorders>
                  <w:shd w:val="clear" w:color="auto" w:fill="auto"/>
                  <w:vAlign w:val="center"/>
                </w:tcPr>
                <w:p w14:paraId="666546B5">
                  <w:pPr>
                    <w:pStyle w:val="38"/>
                  </w:pPr>
                  <w:r>
                    <w:t xml:space="preserve">34.03 </w:t>
                  </w:r>
                </w:p>
              </w:tc>
              <w:tc>
                <w:tcPr>
                  <w:tcW w:w="283" w:type="pct"/>
                  <w:tcBorders>
                    <w:tl2br w:val="nil"/>
                    <w:tr2bl w:val="nil"/>
                  </w:tcBorders>
                  <w:shd w:val="clear" w:color="auto" w:fill="auto"/>
                  <w:vAlign w:val="center"/>
                </w:tcPr>
                <w:p w14:paraId="63B7FDE4">
                  <w:pPr>
                    <w:pStyle w:val="38"/>
                  </w:pPr>
                  <w:r>
                    <w:rPr>
                      <w:rFonts w:hint="eastAsia"/>
                    </w:rPr>
                    <w:t>1</w:t>
                  </w:r>
                </w:p>
              </w:tc>
            </w:tr>
            <w:tr w14:paraId="55CD8D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62" w:hRule="atLeast"/>
                <w:jc w:val="center"/>
              </w:trPr>
              <w:tc>
                <w:tcPr>
                  <w:tcW w:w="187" w:type="pct"/>
                  <w:tcBorders>
                    <w:tl2br w:val="nil"/>
                    <w:tr2bl w:val="nil"/>
                  </w:tcBorders>
                  <w:shd w:val="clear" w:color="auto" w:fill="auto"/>
                  <w:vAlign w:val="center"/>
                </w:tcPr>
                <w:p w14:paraId="4FD01D22">
                  <w:pPr>
                    <w:widowControl/>
                    <w:numPr>
                      <w:ilvl w:val="0"/>
                      <w:numId w:val="12"/>
                    </w:numPr>
                    <w:tabs>
                      <w:tab w:val="clear" w:pos="0"/>
                    </w:tabs>
                    <w:jc w:val="center"/>
                    <w:textAlignment w:val="center"/>
                    <w:rPr>
                      <w:szCs w:val="21"/>
                    </w:rPr>
                  </w:pPr>
                </w:p>
              </w:tc>
              <w:tc>
                <w:tcPr>
                  <w:tcW w:w="429" w:type="pct"/>
                  <w:tcBorders>
                    <w:tl2br w:val="nil"/>
                    <w:tr2bl w:val="nil"/>
                  </w:tcBorders>
                  <w:shd w:val="clear" w:color="auto" w:fill="auto"/>
                  <w:vAlign w:val="center"/>
                </w:tcPr>
                <w:p w14:paraId="31F72FBC">
                  <w:pPr>
                    <w:jc w:val="center"/>
                    <w:rPr>
                      <w:kern w:val="0"/>
                      <w:szCs w:val="21"/>
                    </w:rPr>
                  </w:pPr>
                  <w:r>
                    <w:rPr>
                      <w:rFonts w:hint="eastAsia"/>
                      <w:kern w:val="0"/>
                      <w:szCs w:val="21"/>
                    </w:rPr>
                    <w:t>除臭</w:t>
                  </w:r>
                </w:p>
              </w:tc>
              <w:tc>
                <w:tcPr>
                  <w:tcW w:w="589" w:type="pct"/>
                  <w:tcBorders>
                    <w:tl2br w:val="nil"/>
                    <w:tr2bl w:val="nil"/>
                  </w:tcBorders>
                  <w:shd w:val="clear" w:color="auto" w:fill="auto"/>
                  <w:vAlign w:val="center"/>
                </w:tcPr>
                <w:p w14:paraId="3B956451">
                  <w:pPr>
                    <w:pStyle w:val="38"/>
                  </w:pPr>
                  <w:r>
                    <w:t>离心风机</w:t>
                  </w:r>
                </w:p>
              </w:tc>
              <w:tc>
                <w:tcPr>
                  <w:tcW w:w="485" w:type="pct"/>
                  <w:tcBorders>
                    <w:tl2br w:val="nil"/>
                    <w:tr2bl w:val="nil"/>
                  </w:tcBorders>
                  <w:shd w:val="clear" w:color="auto" w:fill="auto"/>
                  <w:vAlign w:val="center"/>
                </w:tcPr>
                <w:p w14:paraId="31F383CE">
                  <w:pPr>
                    <w:pStyle w:val="38"/>
                  </w:pPr>
                  <w:r>
                    <w:rPr>
                      <w:rFonts w:hint="eastAsia"/>
                    </w:rPr>
                    <w:t>2</w:t>
                  </w:r>
                </w:p>
              </w:tc>
              <w:tc>
                <w:tcPr>
                  <w:tcW w:w="485" w:type="pct"/>
                  <w:tcBorders>
                    <w:tl2br w:val="nil"/>
                    <w:tr2bl w:val="nil"/>
                  </w:tcBorders>
                  <w:shd w:val="clear" w:color="auto" w:fill="auto"/>
                  <w:vAlign w:val="center"/>
                </w:tcPr>
                <w:p w14:paraId="0E097C65">
                  <w:pPr>
                    <w:pStyle w:val="38"/>
                  </w:pPr>
                  <w:r>
                    <w:t>75</w:t>
                  </w:r>
                </w:p>
              </w:tc>
              <w:tc>
                <w:tcPr>
                  <w:tcW w:w="282" w:type="pct"/>
                  <w:vMerge w:val="continue"/>
                  <w:tcBorders>
                    <w:tl2br w:val="nil"/>
                    <w:tr2bl w:val="nil"/>
                  </w:tcBorders>
                  <w:shd w:val="clear" w:color="auto" w:fill="auto"/>
                  <w:vAlign w:val="center"/>
                </w:tcPr>
                <w:p w14:paraId="687C818E">
                  <w:pPr>
                    <w:jc w:val="center"/>
                    <w:rPr>
                      <w:szCs w:val="21"/>
                    </w:rPr>
                  </w:pPr>
                </w:p>
              </w:tc>
              <w:tc>
                <w:tcPr>
                  <w:tcW w:w="282" w:type="pct"/>
                  <w:tcBorders>
                    <w:tl2br w:val="nil"/>
                    <w:tr2bl w:val="nil"/>
                  </w:tcBorders>
                  <w:shd w:val="clear" w:color="auto" w:fill="auto"/>
                  <w:vAlign w:val="center"/>
                </w:tcPr>
                <w:p w14:paraId="0F89536C">
                  <w:pPr>
                    <w:jc w:val="center"/>
                    <w:rPr>
                      <w:rFonts w:hint="default" w:eastAsia="宋体"/>
                      <w:szCs w:val="21"/>
                      <w:lang w:val="en-US" w:eastAsia="zh-CN"/>
                    </w:rPr>
                  </w:pPr>
                  <w:r>
                    <w:rPr>
                      <w:rFonts w:hint="eastAsia"/>
                      <w:szCs w:val="21"/>
                      <w:lang w:val="en-US" w:eastAsia="zh-CN"/>
                    </w:rPr>
                    <w:t>15</w:t>
                  </w:r>
                </w:p>
              </w:tc>
              <w:tc>
                <w:tcPr>
                  <w:tcW w:w="282" w:type="pct"/>
                  <w:tcBorders>
                    <w:tl2br w:val="nil"/>
                    <w:tr2bl w:val="nil"/>
                  </w:tcBorders>
                  <w:shd w:val="clear" w:color="auto" w:fill="auto"/>
                  <w:vAlign w:val="center"/>
                </w:tcPr>
                <w:p w14:paraId="3FD80FCB">
                  <w:pPr>
                    <w:jc w:val="center"/>
                    <w:rPr>
                      <w:szCs w:val="21"/>
                    </w:rPr>
                  </w:pPr>
                  <w:r>
                    <w:rPr>
                      <w:rFonts w:hint="eastAsia"/>
                      <w:szCs w:val="21"/>
                    </w:rPr>
                    <w:t>-15</w:t>
                  </w:r>
                </w:p>
              </w:tc>
              <w:tc>
                <w:tcPr>
                  <w:tcW w:w="282" w:type="pct"/>
                  <w:tcBorders>
                    <w:tl2br w:val="nil"/>
                    <w:tr2bl w:val="nil"/>
                  </w:tcBorders>
                  <w:shd w:val="clear" w:color="auto" w:fill="auto"/>
                  <w:vAlign w:val="center"/>
                </w:tcPr>
                <w:p w14:paraId="085A8EDB">
                  <w:pPr>
                    <w:pStyle w:val="38"/>
                    <w:bidi w:val="0"/>
                  </w:pPr>
                  <w:r>
                    <w:rPr>
                      <w:rFonts w:hint="eastAsia"/>
                      <w:lang w:val="en-US" w:eastAsia="zh-CN"/>
                    </w:rPr>
                    <w:t>1</w:t>
                  </w:r>
                </w:p>
              </w:tc>
              <w:tc>
                <w:tcPr>
                  <w:tcW w:w="282" w:type="pct"/>
                  <w:tcBorders>
                    <w:tl2br w:val="nil"/>
                    <w:tr2bl w:val="nil"/>
                  </w:tcBorders>
                  <w:shd w:val="clear" w:color="auto" w:fill="auto"/>
                  <w:vAlign w:val="center"/>
                </w:tcPr>
                <w:p w14:paraId="6BFE9D84">
                  <w:pPr>
                    <w:pStyle w:val="38"/>
                  </w:pPr>
                  <w:r>
                    <w:t xml:space="preserve">5.0 </w:t>
                  </w:r>
                </w:p>
              </w:tc>
              <w:tc>
                <w:tcPr>
                  <w:tcW w:w="282" w:type="pct"/>
                  <w:tcBorders>
                    <w:tl2br w:val="nil"/>
                    <w:tr2bl w:val="nil"/>
                  </w:tcBorders>
                  <w:shd w:val="clear" w:color="auto" w:fill="auto"/>
                  <w:vAlign w:val="center"/>
                </w:tcPr>
                <w:p w14:paraId="10F3DFB8">
                  <w:pPr>
                    <w:pStyle w:val="38"/>
                  </w:pPr>
                  <w:r>
                    <w:t xml:space="preserve">54.49 </w:t>
                  </w:r>
                </w:p>
              </w:tc>
              <w:tc>
                <w:tcPr>
                  <w:tcW w:w="282" w:type="pct"/>
                  <w:vMerge w:val="continue"/>
                  <w:tcBorders>
                    <w:tl2br w:val="nil"/>
                    <w:tr2bl w:val="nil"/>
                  </w:tcBorders>
                  <w:shd w:val="clear" w:color="auto" w:fill="auto"/>
                  <w:vAlign w:val="center"/>
                </w:tcPr>
                <w:p w14:paraId="58A03B2D">
                  <w:pPr>
                    <w:jc w:val="center"/>
                    <w:rPr>
                      <w:szCs w:val="21"/>
                    </w:rPr>
                  </w:pPr>
                </w:p>
              </w:tc>
              <w:tc>
                <w:tcPr>
                  <w:tcW w:w="282" w:type="pct"/>
                  <w:tcBorders>
                    <w:tl2br w:val="nil"/>
                    <w:tr2bl w:val="nil"/>
                  </w:tcBorders>
                  <w:shd w:val="clear" w:color="auto" w:fill="auto"/>
                  <w:vAlign w:val="center"/>
                </w:tcPr>
                <w:p w14:paraId="049737BD">
                  <w:pPr>
                    <w:jc w:val="center"/>
                    <w:rPr>
                      <w:szCs w:val="21"/>
                    </w:rPr>
                  </w:pPr>
                  <w:r>
                    <w:rPr>
                      <w:rFonts w:hint="eastAsia"/>
                      <w:szCs w:val="21"/>
                    </w:rPr>
                    <w:t>15</w:t>
                  </w:r>
                </w:p>
              </w:tc>
              <w:tc>
                <w:tcPr>
                  <w:tcW w:w="282" w:type="pct"/>
                  <w:tcBorders>
                    <w:tl2br w:val="nil"/>
                    <w:tr2bl w:val="nil"/>
                  </w:tcBorders>
                  <w:shd w:val="clear" w:color="auto" w:fill="auto"/>
                  <w:vAlign w:val="center"/>
                </w:tcPr>
                <w:p w14:paraId="0C75B5CC">
                  <w:pPr>
                    <w:pStyle w:val="38"/>
                  </w:pPr>
                  <w:r>
                    <w:t xml:space="preserve">39.49 </w:t>
                  </w:r>
                </w:p>
              </w:tc>
              <w:tc>
                <w:tcPr>
                  <w:tcW w:w="283" w:type="pct"/>
                  <w:tcBorders>
                    <w:tl2br w:val="nil"/>
                    <w:tr2bl w:val="nil"/>
                  </w:tcBorders>
                  <w:shd w:val="clear" w:color="auto" w:fill="auto"/>
                  <w:vAlign w:val="center"/>
                </w:tcPr>
                <w:p w14:paraId="4307F744">
                  <w:pPr>
                    <w:pStyle w:val="38"/>
                  </w:pPr>
                  <w:r>
                    <w:rPr>
                      <w:rFonts w:hint="eastAsia"/>
                    </w:rPr>
                    <w:t>1</w:t>
                  </w:r>
                </w:p>
              </w:tc>
            </w:tr>
          </w:tbl>
          <w:p w14:paraId="26163A6A">
            <w:pPr>
              <w:jc w:val="left"/>
              <w:rPr>
                <w:b/>
                <w:bCs/>
                <w:szCs w:val="21"/>
              </w:rPr>
            </w:pPr>
            <w:r>
              <w:rPr>
                <w:rFonts w:hint="eastAsia"/>
                <w:b/>
                <w:bCs/>
                <w:szCs w:val="21"/>
              </w:rPr>
              <w:t>注：</w:t>
            </w:r>
            <w:r>
              <w:rPr>
                <w:b/>
                <w:bCs/>
                <w:szCs w:val="21"/>
              </w:rPr>
              <w:t>以</w:t>
            </w:r>
            <w:r>
              <w:rPr>
                <w:rFonts w:hint="eastAsia"/>
                <w:b/>
                <w:bCs/>
                <w:szCs w:val="21"/>
              </w:rPr>
              <w:t>厂区</w:t>
            </w:r>
            <w:r>
              <w:rPr>
                <w:b/>
                <w:bCs/>
                <w:szCs w:val="21"/>
              </w:rPr>
              <w:t>中心</w:t>
            </w:r>
            <w:r>
              <w:rPr>
                <w:rFonts w:hint="eastAsia"/>
                <w:b/>
                <w:bCs/>
                <w:szCs w:val="21"/>
              </w:rPr>
              <w:t>E</w:t>
            </w:r>
            <w:r>
              <w:rPr>
                <w:rFonts w:hint="eastAsia"/>
                <w:b/>
                <w:bCs/>
                <w:szCs w:val="21"/>
                <w:lang w:val="en-US" w:eastAsia="zh-CN"/>
              </w:rPr>
              <w:t>:</w:t>
            </w:r>
            <w:r>
              <w:rPr>
                <w:rFonts w:hint="eastAsia"/>
                <w:b/>
                <w:bCs/>
                <w:szCs w:val="21"/>
              </w:rPr>
              <w:t>115°51'53.101"，N</w:t>
            </w:r>
            <w:r>
              <w:rPr>
                <w:rFonts w:hint="eastAsia"/>
                <w:b/>
                <w:bCs/>
                <w:szCs w:val="21"/>
                <w:lang w:val="en-US" w:eastAsia="zh-CN"/>
              </w:rPr>
              <w:t>:</w:t>
            </w:r>
            <w:r>
              <w:rPr>
                <w:rFonts w:hint="eastAsia"/>
                <w:b/>
                <w:bCs/>
                <w:szCs w:val="21"/>
              </w:rPr>
              <w:t>26°25'49.138"</w:t>
            </w:r>
            <w:r>
              <w:rPr>
                <w:b/>
                <w:bCs/>
                <w:szCs w:val="21"/>
              </w:rPr>
              <w:t>为原点坐标（0，0</w:t>
            </w:r>
            <w:r>
              <w:rPr>
                <w:rFonts w:hint="eastAsia"/>
                <w:b/>
                <w:bCs/>
                <w:szCs w:val="21"/>
              </w:rPr>
              <w:t>，0</w:t>
            </w:r>
            <w:r>
              <w:rPr>
                <w:b/>
                <w:bCs/>
                <w:szCs w:val="21"/>
              </w:rPr>
              <w:t>），正东X轴为正方向，正北Y轴为正方向</w:t>
            </w:r>
            <w:r>
              <w:rPr>
                <w:rFonts w:hint="eastAsia"/>
                <w:b/>
                <w:bCs/>
                <w:szCs w:val="21"/>
              </w:rPr>
              <w:t>，垂直地面向上为Z轴正方向</w:t>
            </w:r>
            <w:r>
              <w:rPr>
                <w:b/>
                <w:bCs/>
                <w:szCs w:val="21"/>
              </w:rPr>
              <w:t>建立</w:t>
            </w:r>
            <w:r>
              <w:rPr>
                <w:rFonts w:hint="eastAsia"/>
                <w:b/>
                <w:bCs/>
                <w:szCs w:val="21"/>
              </w:rPr>
              <w:t>空间</w:t>
            </w:r>
            <w:r>
              <w:rPr>
                <w:b/>
                <w:bCs/>
                <w:szCs w:val="21"/>
              </w:rPr>
              <w:t>直角坐标系</w:t>
            </w:r>
          </w:p>
          <w:p w14:paraId="096BAA1B">
            <w:pPr>
              <w:jc w:val="left"/>
              <w:rPr>
                <w:b/>
                <w:bCs/>
                <w:szCs w:val="21"/>
              </w:rPr>
            </w:pPr>
          </w:p>
        </w:tc>
      </w:tr>
      <w:bookmarkEnd w:id="38"/>
    </w:tbl>
    <w:p w14:paraId="620FE68A">
      <w:pPr>
        <w:sectPr>
          <w:pgSz w:w="16838" w:h="11906" w:orient="landscape"/>
          <w:pgMar w:top="1417" w:right="1417" w:bottom="1134" w:left="1417" w:header="851" w:footer="850" w:gutter="0"/>
          <w:pgBorders>
            <w:top w:val="none" w:sz="0" w:space="0"/>
            <w:left w:val="none" w:sz="0" w:space="0"/>
            <w:bottom w:val="none" w:sz="0" w:space="0"/>
            <w:right w:val="none" w:sz="0" w:space="0"/>
          </w:pgBorders>
          <w:pgNumType w:fmt="numberInDash"/>
          <w:cols w:space="720" w:num="1"/>
          <w:docGrid w:linePitch="312" w:charSpace="0"/>
        </w:sectPr>
      </w:pPr>
    </w:p>
    <w:tbl>
      <w:tblPr>
        <w:tblStyle w:val="28"/>
        <w:tblW w:w="99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9132"/>
      </w:tblGrid>
      <w:tr w14:paraId="3F22C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Mar>
              <w:left w:w="28" w:type="dxa"/>
              <w:right w:w="28" w:type="dxa"/>
            </w:tcMar>
            <w:vAlign w:val="center"/>
          </w:tcPr>
          <w:p w14:paraId="412D08E4">
            <w:pPr>
              <w:adjustRightInd w:val="0"/>
              <w:snapToGrid w:val="0"/>
              <w:jc w:val="center"/>
              <w:rPr>
                <w:bCs/>
                <w:szCs w:val="21"/>
              </w:rPr>
            </w:pPr>
            <w:bookmarkStart w:id="39" w:name="_Toc7902"/>
            <w:bookmarkStart w:id="40" w:name="_Toc2481"/>
            <w:bookmarkStart w:id="41" w:name="_Toc31545"/>
            <w:bookmarkStart w:id="42" w:name="_Toc13959"/>
            <w:bookmarkStart w:id="43" w:name="_Toc29875"/>
            <w:r>
              <w:rPr>
                <w:bCs/>
                <w:szCs w:val="21"/>
              </w:rPr>
              <w:t>运营</w:t>
            </w:r>
          </w:p>
          <w:p w14:paraId="7D19A20B">
            <w:pPr>
              <w:adjustRightInd w:val="0"/>
              <w:snapToGrid w:val="0"/>
              <w:jc w:val="center"/>
              <w:rPr>
                <w:bCs/>
                <w:szCs w:val="21"/>
              </w:rPr>
            </w:pPr>
            <w:r>
              <w:rPr>
                <w:bCs/>
                <w:szCs w:val="21"/>
              </w:rPr>
              <w:t>期环</w:t>
            </w:r>
          </w:p>
          <w:p w14:paraId="3B72993F">
            <w:pPr>
              <w:adjustRightInd w:val="0"/>
              <w:snapToGrid w:val="0"/>
              <w:jc w:val="center"/>
              <w:rPr>
                <w:bCs/>
                <w:szCs w:val="21"/>
              </w:rPr>
            </w:pPr>
            <w:r>
              <w:rPr>
                <w:bCs/>
                <w:szCs w:val="21"/>
              </w:rPr>
              <w:t>境影</w:t>
            </w:r>
          </w:p>
          <w:p w14:paraId="4F3D3A36">
            <w:pPr>
              <w:adjustRightInd w:val="0"/>
              <w:snapToGrid w:val="0"/>
              <w:jc w:val="center"/>
              <w:rPr>
                <w:bCs/>
                <w:szCs w:val="21"/>
              </w:rPr>
            </w:pPr>
            <w:r>
              <w:rPr>
                <w:bCs/>
                <w:szCs w:val="21"/>
              </w:rPr>
              <w:t>响和</w:t>
            </w:r>
          </w:p>
          <w:p w14:paraId="68228C04">
            <w:pPr>
              <w:adjustRightInd w:val="0"/>
              <w:snapToGrid w:val="0"/>
              <w:jc w:val="center"/>
              <w:rPr>
                <w:bCs/>
                <w:szCs w:val="21"/>
              </w:rPr>
            </w:pPr>
            <w:r>
              <w:rPr>
                <w:bCs/>
                <w:szCs w:val="21"/>
              </w:rPr>
              <w:t>保护</w:t>
            </w:r>
          </w:p>
          <w:p w14:paraId="5F119FA0">
            <w:pPr>
              <w:pStyle w:val="24"/>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bCs/>
                <w:szCs w:val="21"/>
              </w:rPr>
              <w:t>措施</w:t>
            </w:r>
          </w:p>
        </w:tc>
        <w:tc>
          <w:tcPr>
            <w:tcW w:w="9132" w:type="dxa"/>
            <w:vAlign w:val="center"/>
          </w:tcPr>
          <w:p w14:paraId="7ACDAE21">
            <w:pPr>
              <w:spacing w:before="120" w:beforeLines="50" w:line="360" w:lineRule="auto"/>
              <w:ind w:firstLine="482" w:firstLineChars="200"/>
              <w:rPr>
                <w:b/>
                <w:bCs/>
                <w:sz w:val="24"/>
              </w:rPr>
            </w:pPr>
            <w:r>
              <w:rPr>
                <w:rFonts w:hint="eastAsia"/>
                <w:b/>
                <w:bCs/>
                <w:sz w:val="24"/>
              </w:rPr>
              <w:t>2、厂界噪声排放达标情况分析</w:t>
            </w:r>
          </w:p>
          <w:p w14:paraId="0F827463">
            <w:pPr>
              <w:spacing w:line="360" w:lineRule="auto"/>
              <w:ind w:firstLine="480" w:firstLineChars="200"/>
              <w:rPr>
                <w:sz w:val="24"/>
              </w:rPr>
            </w:pPr>
            <w:r>
              <w:rPr>
                <w:rFonts w:hint="eastAsia"/>
                <w:sz w:val="24"/>
              </w:rPr>
              <w:t>从噪声源到受声点的噪声总衰减量，是由噪声源到受声点的距离、墙体隔声量、空气吸收及建筑屏障的衰减综合而成；根据项目特点，本预测只考虑距离的衰减和建筑墙体的隔声量，空气吸收因本建设项目噪声源离预测点较近而忽略不计，相关数学公式如下：</w:t>
            </w:r>
          </w:p>
          <w:p w14:paraId="7721B299">
            <w:pPr>
              <w:spacing w:line="360" w:lineRule="auto"/>
              <w:ind w:firstLine="480" w:firstLineChars="200"/>
              <w:rPr>
                <w:sz w:val="24"/>
              </w:rPr>
            </w:pPr>
            <w:r>
              <w:rPr>
                <w:sz w:val="24"/>
              </w:rPr>
              <w:t>（1）单声源声压级的预测</w:t>
            </w:r>
          </w:p>
          <w:p w14:paraId="4B11D03A">
            <w:pPr>
              <w:spacing w:line="360" w:lineRule="auto"/>
              <w:ind w:firstLine="480" w:firstLineChars="200"/>
              <w:rPr>
                <w:sz w:val="24"/>
              </w:rPr>
            </w:pPr>
            <w:r>
              <w:rPr>
                <w:sz w:val="24"/>
              </w:rPr>
              <w:t>a</w:t>
            </w:r>
            <w:r>
              <w:rPr>
                <w:rFonts w:hint="eastAsia"/>
                <w:sz w:val="24"/>
              </w:rPr>
              <w:t>）</w:t>
            </w:r>
            <w:r>
              <w:rPr>
                <w:sz w:val="24"/>
              </w:rPr>
              <w:t>建设项目声源在预测点产生的等效声级贡献值（Leqg）计算公式：</w:t>
            </w:r>
          </w:p>
          <w:p w14:paraId="46DBE003">
            <w:pPr>
              <w:spacing w:line="360" w:lineRule="auto"/>
              <w:ind w:firstLine="480" w:firstLineChars="200"/>
              <w:jc w:val="center"/>
              <w:rPr>
                <w:sz w:val="24"/>
              </w:rPr>
            </w:pPr>
            <w:r>
              <w:rPr>
                <w:sz w:val="24"/>
              </w:rPr>
              <w:drawing>
                <wp:inline distT="0" distB="0" distL="114300" distR="114300">
                  <wp:extent cx="1875790" cy="495300"/>
                  <wp:effectExtent l="0" t="0" r="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4"/>
                          <a:stretch>
                            <a:fillRect/>
                          </a:stretch>
                        </pic:blipFill>
                        <pic:spPr>
                          <a:xfrm>
                            <a:off x="0" y="0"/>
                            <a:ext cx="1875790" cy="495300"/>
                          </a:xfrm>
                          <a:prstGeom prst="rect">
                            <a:avLst/>
                          </a:prstGeom>
                          <a:noFill/>
                          <a:ln>
                            <a:noFill/>
                          </a:ln>
                        </pic:spPr>
                      </pic:pic>
                    </a:graphicData>
                  </a:graphic>
                </wp:inline>
              </w:drawing>
            </w:r>
          </w:p>
          <w:p w14:paraId="233DFBA9">
            <w:pPr>
              <w:spacing w:line="360" w:lineRule="auto"/>
              <w:ind w:firstLine="480" w:firstLineChars="200"/>
              <w:rPr>
                <w:sz w:val="24"/>
              </w:rPr>
            </w:pPr>
            <w:r>
              <w:rPr>
                <w:sz w:val="24"/>
              </w:rPr>
              <w:t>式中：Leqg—建设项目声源在预测点的等效声级贡献值，dB(A)；</w:t>
            </w:r>
          </w:p>
          <w:p w14:paraId="6C6F835C">
            <w:pPr>
              <w:spacing w:line="360" w:lineRule="auto"/>
              <w:ind w:firstLine="480" w:firstLineChars="200"/>
              <w:rPr>
                <w:sz w:val="24"/>
              </w:rPr>
            </w:pPr>
            <w:r>
              <w:rPr>
                <w:sz w:val="24"/>
              </w:rPr>
              <w:t>LAi—i声源在预测点产生的A声级，dB(A)；</w:t>
            </w:r>
          </w:p>
          <w:p w14:paraId="3C8AC7C3">
            <w:pPr>
              <w:spacing w:line="360" w:lineRule="auto"/>
              <w:ind w:firstLine="480" w:firstLineChars="200"/>
              <w:rPr>
                <w:sz w:val="24"/>
              </w:rPr>
            </w:pPr>
            <w:r>
              <w:rPr>
                <w:sz w:val="24"/>
              </w:rPr>
              <w:t>T—预测计算的时间段，s；</w:t>
            </w:r>
          </w:p>
          <w:p w14:paraId="0D341891">
            <w:pPr>
              <w:spacing w:line="360" w:lineRule="auto"/>
              <w:ind w:firstLine="480" w:firstLineChars="200"/>
              <w:rPr>
                <w:sz w:val="24"/>
              </w:rPr>
            </w:pPr>
            <w:r>
              <w:rPr>
                <w:sz w:val="24"/>
              </w:rPr>
              <w:t>ti—i声源在T时段内的运行时间，s；</w:t>
            </w:r>
          </w:p>
          <w:p w14:paraId="575460FF">
            <w:pPr>
              <w:spacing w:line="360" w:lineRule="auto"/>
              <w:ind w:firstLine="480" w:firstLineChars="200"/>
              <w:rPr>
                <w:sz w:val="24"/>
              </w:rPr>
            </w:pPr>
            <w:r>
              <w:rPr>
                <w:sz w:val="24"/>
              </w:rPr>
              <w:t>b）预测点的预测等效声级（Leq）计算公式：</w:t>
            </w:r>
          </w:p>
          <w:p w14:paraId="6107D3C0">
            <w:pPr>
              <w:spacing w:line="360" w:lineRule="auto"/>
              <w:ind w:firstLine="480" w:firstLineChars="200"/>
              <w:jc w:val="center"/>
              <w:rPr>
                <w:sz w:val="24"/>
              </w:rPr>
            </w:pPr>
            <w:r>
              <w:rPr>
                <w:sz w:val="24"/>
              </w:rPr>
              <w:drawing>
                <wp:inline distT="0" distB="0" distL="114300" distR="114300">
                  <wp:extent cx="2247900" cy="353695"/>
                  <wp:effectExtent l="0" t="0" r="0"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5"/>
                          <a:stretch>
                            <a:fillRect/>
                          </a:stretch>
                        </pic:blipFill>
                        <pic:spPr>
                          <a:xfrm>
                            <a:off x="0" y="0"/>
                            <a:ext cx="2247900" cy="353695"/>
                          </a:xfrm>
                          <a:prstGeom prst="rect">
                            <a:avLst/>
                          </a:prstGeom>
                          <a:noFill/>
                          <a:ln>
                            <a:noFill/>
                          </a:ln>
                        </pic:spPr>
                      </pic:pic>
                    </a:graphicData>
                  </a:graphic>
                </wp:inline>
              </w:drawing>
            </w:r>
          </w:p>
          <w:p w14:paraId="2B39AF23">
            <w:pPr>
              <w:spacing w:line="360" w:lineRule="auto"/>
              <w:ind w:firstLine="480" w:firstLineChars="200"/>
              <w:rPr>
                <w:sz w:val="24"/>
              </w:rPr>
            </w:pPr>
            <w:r>
              <w:rPr>
                <w:sz w:val="24"/>
              </w:rPr>
              <w:t>式中：Leqg—建设项目声源在预测点的等效声级贡献值，dB(A)；</w:t>
            </w:r>
          </w:p>
          <w:p w14:paraId="3C37E691">
            <w:pPr>
              <w:spacing w:line="360" w:lineRule="auto"/>
              <w:ind w:firstLine="480" w:firstLineChars="200"/>
              <w:rPr>
                <w:sz w:val="24"/>
              </w:rPr>
            </w:pPr>
            <w:r>
              <w:rPr>
                <w:sz w:val="24"/>
              </w:rPr>
              <w:t>Leqb—预测点的背景值，dB(A)。</w:t>
            </w:r>
          </w:p>
          <w:p w14:paraId="7B5455F0">
            <w:pPr>
              <w:spacing w:line="360" w:lineRule="auto"/>
              <w:ind w:firstLine="480" w:firstLineChars="200"/>
              <w:rPr>
                <w:sz w:val="24"/>
              </w:rPr>
            </w:pPr>
            <w:r>
              <w:rPr>
                <w:sz w:val="24"/>
              </w:rPr>
              <w:t>（2）点声源的几何发散衰减</w:t>
            </w:r>
          </w:p>
          <w:p w14:paraId="0F6FF633">
            <w:pPr>
              <w:spacing w:line="360" w:lineRule="auto"/>
              <w:ind w:firstLine="480" w:firstLineChars="200"/>
              <w:rPr>
                <w:sz w:val="24"/>
              </w:rPr>
            </w:pPr>
            <w:r>
              <w:rPr>
                <w:sz w:val="24"/>
              </w:rPr>
              <w:t>无指向性点声源几何发散衰减的基本公式是：</w:t>
            </w:r>
          </w:p>
          <w:p w14:paraId="56E451B2">
            <w:pPr>
              <w:spacing w:line="360" w:lineRule="auto"/>
              <w:ind w:firstLine="480" w:firstLineChars="200"/>
              <w:jc w:val="center"/>
              <w:rPr>
                <w:sz w:val="24"/>
              </w:rPr>
            </w:pPr>
            <w:r>
              <w:rPr>
                <w:sz w:val="24"/>
              </w:rPr>
              <w:drawing>
                <wp:inline distT="0" distB="0" distL="114300" distR="114300">
                  <wp:extent cx="2200275" cy="304800"/>
                  <wp:effectExtent l="0" t="0" r="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6"/>
                          <a:stretch>
                            <a:fillRect/>
                          </a:stretch>
                        </pic:blipFill>
                        <pic:spPr>
                          <a:xfrm>
                            <a:off x="0" y="0"/>
                            <a:ext cx="2200275" cy="304800"/>
                          </a:xfrm>
                          <a:prstGeom prst="rect">
                            <a:avLst/>
                          </a:prstGeom>
                          <a:noFill/>
                          <a:ln>
                            <a:noFill/>
                          </a:ln>
                        </pic:spPr>
                      </pic:pic>
                    </a:graphicData>
                  </a:graphic>
                </wp:inline>
              </w:drawing>
            </w:r>
          </w:p>
          <w:p w14:paraId="69BD589E">
            <w:pPr>
              <w:spacing w:line="360" w:lineRule="auto"/>
              <w:ind w:firstLine="480" w:firstLineChars="200"/>
              <w:rPr>
                <w:sz w:val="24"/>
              </w:rPr>
            </w:pPr>
            <w:r>
              <w:rPr>
                <w:sz w:val="24"/>
              </w:rPr>
              <w:t>（3）多声源声压级的预测</w:t>
            </w:r>
          </w:p>
          <w:p w14:paraId="794BCD94">
            <w:pPr>
              <w:spacing w:line="360" w:lineRule="auto"/>
              <w:ind w:firstLine="480" w:firstLineChars="200"/>
              <w:rPr>
                <w:sz w:val="24"/>
              </w:rPr>
            </w:pPr>
            <w:r>
              <w:rPr>
                <w:sz w:val="24"/>
              </w:rPr>
              <w:t>在噪声源众多的情况下，某预测点的声压级为各噪声对该受声点的噪声级分贝值叠加之和</w:t>
            </w:r>
            <w:r>
              <w:rPr>
                <w:rFonts w:hint="eastAsia"/>
                <w:sz w:val="24"/>
              </w:rPr>
              <w:t>，计算公式如下：</w:t>
            </w:r>
          </w:p>
          <w:p w14:paraId="03372111">
            <w:pPr>
              <w:spacing w:line="360" w:lineRule="auto"/>
              <w:ind w:firstLine="480" w:firstLineChars="200"/>
              <w:jc w:val="center"/>
              <w:rPr>
                <w:sz w:val="24"/>
              </w:rPr>
            </w:pPr>
            <w:r>
              <w:rPr>
                <w:sz w:val="24"/>
              </w:rPr>
              <w:drawing>
                <wp:inline distT="0" distB="0" distL="114300" distR="114300">
                  <wp:extent cx="1848485" cy="466725"/>
                  <wp:effectExtent l="0" t="0" r="18415" b="889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7"/>
                          <a:stretch>
                            <a:fillRect/>
                          </a:stretch>
                        </pic:blipFill>
                        <pic:spPr>
                          <a:xfrm>
                            <a:off x="0" y="0"/>
                            <a:ext cx="1848485" cy="466725"/>
                          </a:xfrm>
                          <a:prstGeom prst="rect">
                            <a:avLst/>
                          </a:prstGeom>
                          <a:noFill/>
                          <a:ln>
                            <a:noFill/>
                          </a:ln>
                        </pic:spPr>
                      </pic:pic>
                    </a:graphicData>
                  </a:graphic>
                </wp:inline>
              </w:drawing>
            </w:r>
          </w:p>
          <w:p w14:paraId="4BD3FFD1">
            <w:pPr>
              <w:spacing w:line="360" w:lineRule="auto"/>
              <w:ind w:firstLine="480" w:firstLineChars="200"/>
              <w:rPr>
                <w:sz w:val="24"/>
              </w:rPr>
            </w:pPr>
            <w:r>
              <w:rPr>
                <w:sz w:val="24"/>
              </w:rPr>
              <w:t>式中：</w:t>
            </w:r>
            <w:r>
              <w:rPr>
                <w:sz w:val="24"/>
              </w:rPr>
              <w:drawing>
                <wp:inline distT="0" distB="0" distL="114300" distR="114300">
                  <wp:extent cx="238125" cy="238125"/>
                  <wp:effectExtent l="0" t="0" r="0" b="762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8"/>
                          <a:stretch>
                            <a:fillRect/>
                          </a:stretch>
                        </pic:blipFill>
                        <pic:spPr>
                          <a:xfrm>
                            <a:off x="0" y="0"/>
                            <a:ext cx="238125" cy="238125"/>
                          </a:xfrm>
                          <a:prstGeom prst="rect">
                            <a:avLst/>
                          </a:prstGeom>
                          <a:noFill/>
                          <a:ln>
                            <a:noFill/>
                          </a:ln>
                        </pic:spPr>
                      </pic:pic>
                    </a:graphicData>
                  </a:graphic>
                </wp:inline>
              </w:drawing>
            </w:r>
            <w:r>
              <w:rPr>
                <w:sz w:val="24"/>
              </w:rPr>
              <w:t>—某预测点</w:t>
            </w:r>
            <w:r>
              <w:rPr>
                <w:rFonts w:hint="eastAsia"/>
                <w:sz w:val="24"/>
              </w:rPr>
              <w:t>叠加</w:t>
            </w:r>
            <w:r>
              <w:rPr>
                <w:sz w:val="24"/>
              </w:rPr>
              <w:t>后的总声压级，dB(A)；</w:t>
            </w:r>
          </w:p>
          <w:p w14:paraId="3ECD5E54">
            <w:pPr>
              <w:spacing w:line="360" w:lineRule="auto"/>
              <w:ind w:firstLine="1200" w:firstLineChars="500"/>
              <w:rPr>
                <w:sz w:val="24"/>
              </w:rPr>
            </w:pPr>
            <w:r>
              <w:rPr>
                <w:sz w:val="24"/>
              </w:rPr>
              <w:drawing>
                <wp:inline distT="0" distB="0" distL="114300" distR="114300">
                  <wp:extent cx="219075" cy="238125"/>
                  <wp:effectExtent l="0" t="0" r="9525" b="762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9"/>
                          <a:stretch>
                            <a:fillRect/>
                          </a:stretch>
                        </pic:blipFill>
                        <pic:spPr>
                          <a:xfrm>
                            <a:off x="0" y="0"/>
                            <a:ext cx="219075" cy="238125"/>
                          </a:xfrm>
                          <a:prstGeom prst="rect">
                            <a:avLst/>
                          </a:prstGeom>
                          <a:noFill/>
                          <a:ln>
                            <a:noFill/>
                          </a:ln>
                        </pic:spPr>
                      </pic:pic>
                    </a:graphicData>
                  </a:graphic>
                </wp:inline>
              </w:drawing>
            </w:r>
            <w:r>
              <w:rPr>
                <w:sz w:val="24"/>
              </w:rPr>
              <w:t>—i声源对某预测点的贡献声压级，dB(A)。</w:t>
            </w:r>
          </w:p>
          <w:p w14:paraId="40B89B04">
            <w:pPr>
              <w:spacing w:after="120" w:afterLines="50" w:line="360" w:lineRule="auto"/>
              <w:ind w:firstLine="480" w:firstLineChars="200"/>
              <w:rPr>
                <w:sz w:val="24"/>
              </w:rPr>
            </w:pPr>
            <w:r>
              <w:rPr>
                <w:rFonts w:hint="eastAsia"/>
                <w:sz w:val="24"/>
              </w:rPr>
              <w:t>利用上述模式计算本项目噪声源同时工作时，预测到厂界的噪声贡献值，预测本项目运行后厂界的噪声值。本项目只在日间运行，故只对昼间声环境进行预测，预测结果见下表所示。</w:t>
            </w:r>
          </w:p>
          <w:p w14:paraId="11110584">
            <w:pPr>
              <w:pStyle w:val="52"/>
            </w:pPr>
            <w:bookmarkStart w:id="44" w:name="_Ref21902"/>
            <w:r>
              <w:rPr>
                <w:rFonts w:hint="eastAsia"/>
              </w:rPr>
              <w:t>项目厂界</w:t>
            </w:r>
            <w:r>
              <w:t>声环境影响预测</w:t>
            </w:r>
            <w:r>
              <w:rPr>
                <w:rFonts w:hint="eastAsia"/>
              </w:rPr>
              <w:t>结果一览表</w:t>
            </w:r>
            <w:r>
              <w:t>dB(A</w:t>
            </w:r>
            <w:r>
              <w:rPr>
                <w:rFonts w:hint="eastAsia"/>
              </w:rPr>
              <w:t>)</w:t>
            </w:r>
            <w:bookmarkEnd w:id="44"/>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852"/>
              <w:gridCol w:w="854"/>
              <w:gridCol w:w="854"/>
              <w:gridCol w:w="854"/>
              <w:gridCol w:w="838"/>
              <w:gridCol w:w="848"/>
              <w:gridCol w:w="854"/>
              <w:gridCol w:w="873"/>
            </w:tblGrid>
            <w:tr w14:paraId="324CA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jc w:val="center"/>
              </w:trPr>
              <w:tc>
                <w:tcPr>
                  <w:tcW w:w="1170" w:type="pct"/>
                  <w:vMerge w:val="restart"/>
                  <w:vAlign w:val="center"/>
                </w:tcPr>
                <w:p w14:paraId="490B7814">
                  <w:pPr>
                    <w:pStyle w:val="38"/>
                  </w:pPr>
                  <w:r>
                    <w:rPr>
                      <w:b/>
                      <w:bCs/>
                    </w:rPr>
                    <w:t>项目</w:t>
                  </w:r>
                </w:p>
              </w:tc>
              <w:tc>
                <w:tcPr>
                  <w:tcW w:w="3829" w:type="pct"/>
                  <w:gridSpan w:val="8"/>
                  <w:vAlign w:val="center"/>
                </w:tcPr>
                <w:p w14:paraId="115BB743">
                  <w:pPr>
                    <w:pStyle w:val="38"/>
                  </w:pPr>
                  <w:r>
                    <w:rPr>
                      <w:b/>
                      <w:bCs/>
                    </w:rPr>
                    <w:t>噪声预测值dB(A)</w:t>
                  </w:r>
                </w:p>
              </w:tc>
            </w:tr>
            <w:tr w14:paraId="37025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pct"/>
                  <w:vMerge w:val="continue"/>
                  <w:vAlign w:val="center"/>
                </w:tcPr>
                <w:p w14:paraId="75F754BE">
                  <w:pPr>
                    <w:pStyle w:val="38"/>
                  </w:pPr>
                </w:p>
              </w:tc>
              <w:tc>
                <w:tcPr>
                  <w:tcW w:w="957" w:type="pct"/>
                  <w:gridSpan w:val="2"/>
                  <w:vAlign w:val="center"/>
                </w:tcPr>
                <w:p w14:paraId="1DEEF6B4">
                  <w:pPr>
                    <w:pStyle w:val="38"/>
                  </w:pPr>
                  <w:r>
                    <w:rPr>
                      <w:b/>
                      <w:bCs/>
                    </w:rPr>
                    <w:t>东厂界</w:t>
                  </w:r>
                </w:p>
              </w:tc>
              <w:tc>
                <w:tcPr>
                  <w:tcW w:w="958" w:type="pct"/>
                  <w:gridSpan w:val="2"/>
                  <w:vAlign w:val="center"/>
                </w:tcPr>
                <w:p w14:paraId="112FAF0D">
                  <w:pPr>
                    <w:pStyle w:val="38"/>
                  </w:pPr>
                  <w:r>
                    <w:rPr>
                      <w:rFonts w:hint="eastAsia"/>
                      <w:b/>
                      <w:bCs/>
                    </w:rPr>
                    <w:t>西</w:t>
                  </w:r>
                  <w:r>
                    <w:rPr>
                      <w:b/>
                      <w:bCs/>
                    </w:rPr>
                    <w:t>厂界</w:t>
                  </w:r>
                </w:p>
              </w:tc>
              <w:tc>
                <w:tcPr>
                  <w:tcW w:w="946" w:type="pct"/>
                  <w:gridSpan w:val="2"/>
                  <w:vAlign w:val="center"/>
                </w:tcPr>
                <w:p w14:paraId="145B4EFB">
                  <w:pPr>
                    <w:pStyle w:val="38"/>
                  </w:pPr>
                  <w:r>
                    <w:rPr>
                      <w:rFonts w:hint="eastAsia"/>
                      <w:b/>
                      <w:bCs/>
                    </w:rPr>
                    <w:t>南</w:t>
                  </w:r>
                  <w:r>
                    <w:rPr>
                      <w:b/>
                      <w:bCs/>
                    </w:rPr>
                    <w:t>厂界</w:t>
                  </w:r>
                </w:p>
              </w:tc>
              <w:tc>
                <w:tcPr>
                  <w:tcW w:w="967" w:type="pct"/>
                  <w:gridSpan w:val="2"/>
                  <w:vAlign w:val="center"/>
                </w:tcPr>
                <w:p w14:paraId="52808F7E">
                  <w:pPr>
                    <w:pStyle w:val="38"/>
                  </w:pPr>
                  <w:r>
                    <w:rPr>
                      <w:b/>
                      <w:bCs/>
                    </w:rPr>
                    <w:t>北厂界</w:t>
                  </w:r>
                </w:p>
              </w:tc>
            </w:tr>
            <w:tr w14:paraId="709ED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pct"/>
                  <w:vMerge w:val="continue"/>
                  <w:vAlign w:val="center"/>
                </w:tcPr>
                <w:p w14:paraId="790997C7">
                  <w:pPr>
                    <w:pStyle w:val="38"/>
                  </w:pPr>
                </w:p>
              </w:tc>
              <w:tc>
                <w:tcPr>
                  <w:tcW w:w="478" w:type="pct"/>
                  <w:vAlign w:val="center"/>
                </w:tcPr>
                <w:p w14:paraId="22AA5948">
                  <w:pPr>
                    <w:pStyle w:val="38"/>
                  </w:pPr>
                  <w:r>
                    <w:rPr>
                      <w:rFonts w:hint="eastAsia"/>
                      <w:b/>
                      <w:bCs/>
                    </w:rPr>
                    <w:t>昼</w:t>
                  </w:r>
                </w:p>
              </w:tc>
              <w:tc>
                <w:tcPr>
                  <w:tcW w:w="479" w:type="pct"/>
                  <w:vAlign w:val="center"/>
                </w:tcPr>
                <w:p w14:paraId="7424DC61">
                  <w:pPr>
                    <w:pStyle w:val="38"/>
                  </w:pPr>
                  <w:r>
                    <w:rPr>
                      <w:rFonts w:hint="eastAsia"/>
                      <w:b/>
                      <w:bCs/>
                    </w:rPr>
                    <w:t>夜</w:t>
                  </w:r>
                </w:p>
              </w:tc>
              <w:tc>
                <w:tcPr>
                  <w:tcW w:w="479" w:type="pct"/>
                  <w:vAlign w:val="center"/>
                </w:tcPr>
                <w:p w14:paraId="6BFA66B5">
                  <w:pPr>
                    <w:pStyle w:val="38"/>
                  </w:pPr>
                  <w:r>
                    <w:rPr>
                      <w:rFonts w:hint="eastAsia"/>
                      <w:b/>
                      <w:bCs/>
                    </w:rPr>
                    <w:t>昼</w:t>
                  </w:r>
                </w:p>
              </w:tc>
              <w:tc>
                <w:tcPr>
                  <w:tcW w:w="479" w:type="pct"/>
                  <w:vAlign w:val="center"/>
                </w:tcPr>
                <w:p w14:paraId="0BD9A8BB">
                  <w:pPr>
                    <w:pStyle w:val="38"/>
                  </w:pPr>
                  <w:r>
                    <w:rPr>
                      <w:rFonts w:hint="eastAsia"/>
                      <w:b/>
                      <w:bCs/>
                    </w:rPr>
                    <w:t>夜</w:t>
                  </w:r>
                </w:p>
              </w:tc>
              <w:tc>
                <w:tcPr>
                  <w:tcW w:w="470" w:type="pct"/>
                  <w:vAlign w:val="center"/>
                </w:tcPr>
                <w:p w14:paraId="207E8402">
                  <w:pPr>
                    <w:pStyle w:val="38"/>
                  </w:pPr>
                  <w:r>
                    <w:rPr>
                      <w:rFonts w:hint="eastAsia"/>
                      <w:b/>
                      <w:bCs/>
                    </w:rPr>
                    <w:t>昼</w:t>
                  </w:r>
                </w:p>
              </w:tc>
              <w:tc>
                <w:tcPr>
                  <w:tcW w:w="475" w:type="pct"/>
                  <w:vAlign w:val="center"/>
                </w:tcPr>
                <w:p w14:paraId="03EB3C82">
                  <w:pPr>
                    <w:pStyle w:val="38"/>
                  </w:pPr>
                  <w:r>
                    <w:rPr>
                      <w:rFonts w:hint="eastAsia"/>
                      <w:b/>
                      <w:bCs/>
                    </w:rPr>
                    <w:t>夜</w:t>
                  </w:r>
                </w:p>
              </w:tc>
              <w:tc>
                <w:tcPr>
                  <w:tcW w:w="479" w:type="pct"/>
                  <w:vAlign w:val="center"/>
                </w:tcPr>
                <w:p w14:paraId="0E8144BF">
                  <w:pPr>
                    <w:pStyle w:val="38"/>
                  </w:pPr>
                  <w:r>
                    <w:rPr>
                      <w:rFonts w:hint="eastAsia"/>
                      <w:b/>
                      <w:bCs/>
                    </w:rPr>
                    <w:t>昼</w:t>
                  </w:r>
                </w:p>
              </w:tc>
              <w:tc>
                <w:tcPr>
                  <w:tcW w:w="488" w:type="pct"/>
                  <w:vAlign w:val="center"/>
                </w:tcPr>
                <w:p w14:paraId="74300759">
                  <w:pPr>
                    <w:pStyle w:val="38"/>
                  </w:pPr>
                  <w:r>
                    <w:rPr>
                      <w:rFonts w:hint="eastAsia"/>
                      <w:b/>
                      <w:bCs/>
                    </w:rPr>
                    <w:t>夜</w:t>
                  </w:r>
                </w:p>
              </w:tc>
            </w:tr>
            <w:tr w14:paraId="05CF3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pct"/>
                  <w:vAlign w:val="center"/>
                </w:tcPr>
                <w:p w14:paraId="41F3CF85">
                  <w:pPr>
                    <w:pStyle w:val="38"/>
                  </w:pPr>
                  <w:r>
                    <w:t>贡献值（昼）</w:t>
                  </w:r>
                </w:p>
              </w:tc>
              <w:tc>
                <w:tcPr>
                  <w:tcW w:w="478" w:type="pct"/>
                  <w:vAlign w:val="center"/>
                </w:tcPr>
                <w:p w14:paraId="387EAF06">
                  <w:pPr>
                    <w:pStyle w:val="38"/>
                  </w:pPr>
                  <w:r>
                    <w:rPr>
                      <w:rFonts w:hint="eastAsia"/>
                    </w:rPr>
                    <w:t>35.32</w:t>
                  </w:r>
                </w:p>
              </w:tc>
              <w:tc>
                <w:tcPr>
                  <w:tcW w:w="479" w:type="pct"/>
                  <w:vAlign w:val="center"/>
                </w:tcPr>
                <w:p w14:paraId="15F7D86A">
                  <w:pPr>
                    <w:pStyle w:val="38"/>
                  </w:pPr>
                  <w:r>
                    <w:rPr>
                      <w:rFonts w:hint="eastAsia"/>
                    </w:rPr>
                    <w:t>35.32</w:t>
                  </w:r>
                </w:p>
              </w:tc>
              <w:tc>
                <w:tcPr>
                  <w:tcW w:w="479" w:type="pct"/>
                  <w:vAlign w:val="center"/>
                </w:tcPr>
                <w:p w14:paraId="4AF1E830">
                  <w:pPr>
                    <w:pStyle w:val="38"/>
                  </w:pPr>
                  <w:r>
                    <w:rPr>
                      <w:rFonts w:hint="eastAsia"/>
                    </w:rPr>
                    <w:t>31.80</w:t>
                  </w:r>
                </w:p>
              </w:tc>
              <w:tc>
                <w:tcPr>
                  <w:tcW w:w="479" w:type="pct"/>
                  <w:vAlign w:val="center"/>
                </w:tcPr>
                <w:p w14:paraId="3986E5E4">
                  <w:pPr>
                    <w:pStyle w:val="38"/>
                  </w:pPr>
                  <w:r>
                    <w:rPr>
                      <w:rFonts w:hint="eastAsia"/>
                    </w:rPr>
                    <w:t>31.80</w:t>
                  </w:r>
                </w:p>
              </w:tc>
              <w:tc>
                <w:tcPr>
                  <w:tcW w:w="470" w:type="pct"/>
                  <w:vAlign w:val="center"/>
                </w:tcPr>
                <w:p w14:paraId="58D3A9EA">
                  <w:pPr>
                    <w:pStyle w:val="38"/>
                  </w:pPr>
                  <w:r>
                    <w:rPr>
                      <w:rFonts w:hint="eastAsia"/>
                    </w:rPr>
                    <w:t>33.38</w:t>
                  </w:r>
                </w:p>
              </w:tc>
              <w:tc>
                <w:tcPr>
                  <w:tcW w:w="475" w:type="pct"/>
                  <w:vAlign w:val="center"/>
                </w:tcPr>
                <w:p w14:paraId="48F44876">
                  <w:pPr>
                    <w:pStyle w:val="38"/>
                  </w:pPr>
                  <w:r>
                    <w:rPr>
                      <w:rFonts w:hint="eastAsia"/>
                    </w:rPr>
                    <w:t>33.38</w:t>
                  </w:r>
                </w:p>
              </w:tc>
              <w:tc>
                <w:tcPr>
                  <w:tcW w:w="479" w:type="pct"/>
                  <w:vAlign w:val="center"/>
                </w:tcPr>
                <w:p w14:paraId="20EC5DD1">
                  <w:pPr>
                    <w:pStyle w:val="38"/>
                  </w:pPr>
                  <w:r>
                    <w:rPr>
                      <w:rFonts w:hint="eastAsia"/>
                    </w:rPr>
                    <w:t>39.40</w:t>
                  </w:r>
                </w:p>
              </w:tc>
              <w:tc>
                <w:tcPr>
                  <w:tcW w:w="488" w:type="pct"/>
                  <w:vAlign w:val="center"/>
                </w:tcPr>
                <w:p w14:paraId="183EBCCB">
                  <w:pPr>
                    <w:pStyle w:val="38"/>
                  </w:pPr>
                  <w:r>
                    <w:rPr>
                      <w:rFonts w:hint="eastAsia"/>
                    </w:rPr>
                    <w:t>39.40</w:t>
                  </w:r>
                </w:p>
              </w:tc>
            </w:tr>
            <w:tr w14:paraId="48D03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pct"/>
                  <w:vAlign w:val="center"/>
                </w:tcPr>
                <w:p w14:paraId="5EAD5ACC">
                  <w:pPr>
                    <w:pStyle w:val="38"/>
                  </w:pPr>
                  <w:r>
                    <w:t>执行标准（昼）</w:t>
                  </w:r>
                </w:p>
              </w:tc>
              <w:tc>
                <w:tcPr>
                  <w:tcW w:w="478" w:type="pct"/>
                  <w:vAlign w:val="center"/>
                </w:tcPr>
                <w:p w14:paraId="6F6FD428">
                  <w:pPr>
                    <w:pStyle w:val="38"/>
                  </w:pPr>
                  <w:r>
                    <w:rPr>
                      <w:rFonts w:hint="eastAsia"/>
                    </w:rPr>
                    <w:t>60</w:t>
                  </w:r>
                </w:p>
              </w:tc>
              <w:tc>
                <w:tcPr>
                  <w:tcW w:w="479" w:type="pct"/>
                  <w:vAlign w:val="center"/>
                </w:tcPr>
                <w:p w14:paraId="65C97D61">
                  <w:pPr>
                    <w:pStyle w:val="38"/>
                  </w:pPr>
                  <w:r>
                    <w:rPr>
                      <w:rFonts w:hint="eastAsia"/>
                    </w:rPr>
                    <w:t>50</w:t>
                  </w:r>
                </w:p>
              </w:tc>
              <w:tc>
                <w:tcPr>
                  <w:tcW w:w="479" w:type="pct"/>
                  <w:vAlign w:val="center"/>
                </w:tcPr>
                <w:p w14:paraId="2B7D82C4">
                  <w:pPr>
                    <w:pStyle w:val="38"/>
                  </w:pPr>
                  <w:r>
                    <w:rPr>
                      <w:rFonts w:hint="eastAsia"/>
                    </w:rPr>
                    <w:t>60</w:t>
                  </w:r>
                </w:p>
              </w:tc>
              <w:tc>
                <w:tcPr>
                  <w:tcW w:w="479" w:type="pct"/>
                  <w:vAlign w:val="center"/>
                </w:tcPr>
                <w:p w14:paraId="3E5A8E8F">
                  <w:pPr>
                    <w:pStyle w:val="38"/>
                  </w:pPr>
                  <w:r>
                    <w:rPr>
                      <w:rFonts w:hint="eastAsia"/>
                    </w:rPr>
                    <w:t>50</w:t>
                  </w:r>
                </w:p>
              </w:tc>
              <w:tc>
                <w:tcPr>
                  <w:tcW w:w="470" w:type="pct"/>
                  <w:vAlign w:val="center"/>
                </w:tcPr>
                <w:p w14:paraId="5B9FEAA3">
                  <w:pPr>
                    <w:pStyle w:val="38"/>
                  </w:pPr>
                  <w:r>
                    <w:rPr>
                      <w:rFonts w:hint="eastAsia"/>
                    </w:rPr>
                    <w:t>60</w:t>
                  </w:r>
                </w:p>
              </w:tc>
              <w:tc>
                <w:tcPr>
                  <w:tcW w:w="475" w:type="pct"/>
                  <w:vAlign w:val="center"/>
                </w:tcPr>
                <w:p w14:paraId="37346FAB">
                  <w:pPr>
                    <w:pStyle w:val="38"/>
                  </w:pPr>
                  <w:r>
                    <w:rPr>
                      <w:rFonts w:hint="eastAsia"/>
                    </w:rPr>
                    <w:t>50</w:t>
                  </w:r>
                </w:p>
              </w:tc>
              <w:tc>
                <w:tcPr>
                  <w:tcW w:w="479" w:type="pct"/>
                  <w:vAlign w:val="center"/>
                </w:tcPr>
                <w:p w14:paraId="59D96DC3">
                  <w:pPr>
                    <w:pStyle w:val="38"/>
                  </w:pPr>
                  <w:r>
                    <w:rPr>
                      <w:rFonts w:hint="eastAsia"/>
                    </w:rPr>
                    <w:t>60</w:t>
                  </w:r>
                </w:p>
              </w:tc>
              <w:tc>
                <w:tcPr>
                  <w:tcW w:w="488" w:type="pct"/>
                  <w:vAlign w:val="center"/>
                </w:tcPr>
                <w:p w14:paraId="1A2E85B7">
                  <w:pPr>
                    <w:pStyle w:val="38"/>
                  </w:pPr>
                  <w:r>
                    <w:rPr>
                      <w:rFonts w:hint="eastAsia"/>
                    </w:rPr>
                    <w:t>50</w:t>
                  </w:r>
                </w:p>
              </w:tc>
            </w:tr>
            <w:tr w14:paraId="23429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pct"/>
                  <w:vAlign w:val="center"/>
                </w:tcPr>
                <w:p w14:paraId="0C30EC21">
                  <w:pPr>
                    <w:pStyle w:val="38"/>
                  </w:pPr>
                  <w:r>
                    <w:t>是否达标（昼）</w:t>
                  </w:r>
                </w:p>
              </w:tc>
              <w:tc>
                <w:tcPr>
                  <w:tcW w:w="478" w:type="pct"/>
                  <w:vAlign w:val="center"/>
                </w:tcPr>
                <w:p w14:paraId="433A3443">
                  <w:pPr>
                    <w:pStyle w:val="38"/>
                  </w:pPr>
                  <w:r>
                    <w:t>达标</w:t>
                  </w:r>
                </w:p>
              </w:tc>
              <w:tc>
                <w:tcPr>
                  <w:tcW w:w="479" w:type="pct"/>
                  <w:vAlign w:val="center"/>
                </w:tcPr>
                <w:p w14:paraId="194AB0D7">
                  <w:pPr>
                    <w:pStyle w:val="38"/>
                  </w:pPr>
                  <w:r>
                    <w:t>达标</w:t>
                  </w:r>
                </w:p>
              </w:tc>
              <w:tc>
                <w:tcPr>
                  <w:tcW w:w="479" w:type="pct"/>
                  <w:vAlign w:val="center"/>
                </w:tcPr>
                <w:p w14:paraId="2EC4A3B1">
                  <w:pPr>
                    <w:pStyle w:val="38"/>
                  </w:pPr>
                  <w:r>
                    <w:t>达标</w:t>
                  </w:r>
                </w:p>
              </w:tc>
              <w:tc>
                <w:tcPr>
                  <w:tcW w:w="479" w:type="pct"/>
                  <w:vAlign w:val="center"/>
                </w:tcPr>
                <w:p w14:paraId="4D818DA9">
                  <w:pPr>
                    <w:pStyle w:val="38"/>
                  </w:pPr>
                  <w:r>
                    <w:t>达标</w:t>
                  </w:r>
                </w:p>
              </w:tc>
              <w:tc>
                <w:tcPr>
                  <w:tcW w:w="470" w:type="pct"/>
                  <w:vAlign w:val="center"/>
                </w:tcPr>
                <w:p w14:paraId="671F1E2E">
                  <w:pPr>
                    <w:pStyle w:val="38"/>
                  </w:pPr>
                  <w:r>
                    <w:t>达标</w:t>
                  </w:r>
                </w:p>
              </w:tc>
              <w:tc>
                <w:tcPr>
                  <w:tcW w:w="475" w:type="pct"/>
                  <w:vAlign w:val="center"/>
                </w:tcPr>
                <w:p w14:paraId="388C2A11">
                  <w:pPr>
                    <w:pStyle w:val="38"/>
                  </w:pPr>
                  <w:r>
                    <w:t>达标</w:t>
                  </w:r>
                </w:p>
              </w:tc>
              <w:tc>
                <w:tcPr>
                  <w:tcW w:w="479" w:type="pct"/>
                  <w:vAlign w:val="center"/>
                </w:tcPr>
                <w:p w14:paraId="0BBF6239">
                  <w:pPr>
                    <w:pStyle w:val="38"/>
                  </w:pPr>
                  <w:r>
                    <w:t>达标</w:t>
                  </w:r>
                </w:p>
              </w:tc>
              <w:tc>
                <w:tcPr>
                  <w:tcW w:w="488" w:type="pct"/>
                  <w:vAlign w:val="center"/>
                </w:tcPr>
                <w:p w14:paraId="0401A871">
                  <w:pPr>
                    <w:pStyle w:val="38"/>
                  </w:pPr>
                  <w:r>
                    <w:t>达标</w:t>
                  </w:r>
                </w:p>
              </w:tc>
            </w:tr>
          </w:tbl>
          <w:p w14:paraId="615ADCE4">
            <w:pPr>
              <w:spacing w:line="360" w:lineRule="auto"/>
              <w:ind w:firstLine="480" w:firstLineChars="200"/>
              <w:rPr>
                <w:sz w:val="24"/>
              </w:rPr>
            </w:pPr>
            <w:r>
              <w:rPr>
                <w:rFonts w:hint="eastAsia"/>
                <w:sz w:val="24"/>
              </w:rPr>
              <w:t>由</w:t>
            </w:r>
            <w:r>
              <w:rPr>
                <w:rFonts w:hint="eastAsia"/>
                <w:sz w:val="24"/>
              </w:rPr>
              <w:fldChar w:fldCharType="begin"/>
            </w:r>
            <w:r>
              <w:rPr>
                <w:rFonts w:hint="eastAsia"/>
                <w:sz w:val="24"/>
              </w:rPr>
              <w:instrText xml:space="preserve"> REF _Ref21902 \n \h </w:instrText>
            </w:r>
            <w:r>
              <w:rPr>
                <w:rFonts w:hint="eastAsia"/>
                <w:sz w:val="24"/>
              </w:rPr>
              <w:fldChar w:fldCharType="separate"/>
            </w:r>
            <w:r>
              <w:rPr>
                <w:rFonts w:hint="eastAsia"/>
                <w:sz w:val="24"/>
              </w:rPr>
              <w:t>表4-10</w:t>
            </w:r>
            <w:r>
              <w:rPr>
                <w:rFonts w:hint="eastAsia"/>
                <w:sz w:val="24"/>
              </w:rPr>
              <w:fldChar w:fldCharType="end"/>
            </w:r>
            <w:r>
              <w:rPr>
                <w:rFonts w:hint="eastAsia"/>
                <w:sz w:val="24"/>
              </w:rPr>
              <w:t>预测结果可知，项目建成后，昼间生产时噪声设备排放的噪声经厂房隔声、距离衰减及采取的降噪减振措施后，昼间运行时项目东、南、北厂界噪声排放均满足《工业企业厂界环境噪声排放标准》（GB12348-2008）2类标准限值要求，西、临</w:t>
            </w:r>
            <w:r>
              <w:rPr>
                <w:rFonts w:hint="eastAsia"/>
                <w:sz w:val="24"/>
                <w:lang w:val="en-US" w:eastAsia="zh-CN"/>
              </w:rPr>
              <w:t>S451省道，</w:t>
            </w:r>
            <w:r>
              <w:rPr>
                <w:rFonts w:hint="eastAsia"/>
                <w:sz w:val="24"/>
              </w:rPr>
              <w:t>满足4类标准限值要求；</w:t>
            </w:r>
          </w:p>
          <w:p w14:paraId="3983D351">
            <w:pPr>
              <w:spacing w:line="360" w:lineRule="auto"/>
              <w:ind w:firstLine="480" w:firstLineChars="200"/>
            </w:pPr>
            <w:r>
              <w:rPr>
                <w:rFonts w:hint="eastAsia"/>
                <w:sz w:val="24"/>
              </w:rPr>
              <w:t>综上所述，项目噪声对周边声环境质量影响较小。</w:t>
            </w:r>
          </w:p>
          <w:p w14:paraId="7C8D63BA">
            <w:pPr>
              <w:spacing w:line="360" w:lineRule="auto"/>
              <w:ind w:firstLine="482" w:firstLineChars="200"/>
              <w:rPr>
                <w:rStyle w:val="37"/>
                <w:rFonts w:hint="default"/>
              </w:rPr>
            </w:pPr>
            <w:r>
              <w:rPr>
                <w:rStyle w:val="37"/>
                <w:rFonts w:hint="default"/>
                <w:b/>
                <w:bCs/>
              </w:rPr>
              <w:t>3、噪声污染控制措施</w:t>
            </w:r>
          </w:p>
          <w:p w14:paraId="35E7CA2F">
            <w:pPr>
              <w:pStyle w:val="36"/>
              <w:ind w:firstLine="480"/>
              <w:rPr>
                <w:rFonts w:hint="default"/>
              </w:rPr>
            </w:pPr>
            <w:r>
              <w:rPr>
                <w:rFonts w:hint="default"/>
              </w:rPr>
              <w:t>项目噪声主要来源于生产设备的运行，为了减少项目噪声对周围声环境的影响，建议建设单位采取下列措施：</w:t>
            </w:r>
          </w:p>
          <w:p w14:paraId="0B19001C">
            <w:pPr>
              <w:pStyle w:val="36"/>
              <w:ind w:firstLine="480"/>
              <w:rPr>
                <w:rFonts w:hint="default"/>
              </w:rPr>
            </w:pPr>
            <w:bookmarkStart w:id="45" w:name="OLE_LINK1"/>
            <w:r>
              <w:rPr>
                <w:rFonts w:hint="default"/>
              </w:rPr>
              <w:t>（1）在满足生产条件的前提下，尽量选用低噪声设备；生产设备（</w:t>
            </w:r>
            <w:r>
              <w:t>风机</w:t>
            </w:r>
            <w:r>
              <w:rPr>
                <w:rFonts w:hint="default"/>
              </w:rPr>
              <w:t>、</w:t>
            </w:r>
            <w:r>
              <w:t>泵、</w:t>
            </w:r>
            <w:r>
              <w:rPr>
                <w:rFonts w:hint="default"/>
              </w:rPr>
              <w:t>空压机等）设置</w:t>
            </w:r>
            <w:r>
              <w:t>减震基础</w:t>
            </w:r>
            <w:r>
              <w:rPr>
                <w:rFonts w:hint="default"/>
              </w:rPr>
              <w:t>、隔振垫，用来隔离振动的传递；</w:t>
            </w:r>
          </w:p>
          <w:p w14:paraId="6FA01757">
            <w:pPr>
              <w:pStyle w:val="36"/>
              <w:ind w:firstLine="480"/>
              <w:rPr>
                <w:rFonts w:hint="default"/>
              </w:rPr>
            </w:pPr>
            <w:r>
              <w:rPr>
                <w:rFonts w:hint="default"/>
              </w:rPr>
              <w:t>（2）企业应定期对生产设备（</w:t>
            </w:r>
            <w:r>
              <w:t>风机</w:t>
            </w:r>
            <w:r>
              <w:rPr>
                <w:rFonts w:hint="default"/>
              </w:rPr>
              <w:t>、</w:t>
            </w:r>
            <w:r>
              <w:t>泵、</w:t>
            </w:r>
            <w:r>
              <w:rPr>
                <w:rFonts w:hint="default"/>
              </w:rPr>
              <w:t>空压机等）进行维修和保养，确保设备处于良好的运转状态，杜绝因设备不正常运转时产生的高噪声现象，做到文明生产；</w:t>
            </w:r>
          </w:p>
          <w:p w14:paraId="206116BF">
            <w:pPr>
              <w:pStyle w:val="36"/>
              <w:ind w:firstLine="480"/>
              <w:rPr>
                <w:rFonts w:hint="default"/>
              </w:rPr>
            </w:pPr>
            <w:r>
              <w:rPr>
                <w:rFonts w:hint="default"/>
              </w:rPr>
              <w:t>（3）加强管理，提高职工的环保意识教育，提倡文明生产，降低人为噪声。</w:t>
            </w:r>
          </w:p>
          <w:bookmarkEnd w:id="45"/>
          <w:p w14:paraId="6381A69C">
            <w:pPr>
              <w:pStyle w:val="42"/>
              <w:ind w:firstLine="482"/>
              <w:rPr>
                <w:b/>
                <w:bCs/>
              </w:rPr>
            </w:pPr>
            <w:r>
              <w:rPr>
                <w:rFonts w:hint="eastAsia"/>
                <w:b/>
                <w:bCs/>
              </w:rPr>
              <w:t>4</w:t>
            </w:r>
            <w:r>
              <w:rPr>
                <w:b/>
                <w:bCs/>
              </w:rPr>
              <w:t>、噪声监测要求</w:t>
            </w:r>
          </w:p>
          <w:p w14:paraId="2A796106">
            <w:pPr>
              <w:pStyle w:val="42"/>
              <w:ind w:firstLine="480"/>
            </w:pPr>
            <w:r>
              <w:rPr>
                <w:rFonts w:hint="eastAsia"/>
              </w:rPr>
              <w:t>本项目参考《排污许可证申请与核发技术规范 水处理》（HJ978-2018）、《排污单位自行监测技术指南—水处理》（HJ1083-2020）等文件，要求</w:t>
            </w:r>
            <w:r>
              <w:t>对项目噪声污染源情况</w:t>
            </w:r>
            <w:r>
              <w:rPr>
                <w:rFonts w:hint="eastAsia"/>
              </w:rPr>
              <w:t>进行监测</w:t>
            </w:r>
            <w:r>
              <w:t>以及污染治理设施的运转情况进行定期检查，监测可委托有资质的单位实施</w:t>
            </w:r>
            <w:r>
              <w:rPr>
                <w:rFonts w:hint="eastAsia"/>
              </w:rPr>
              <w:t>，并在噪声监测点附近醒目处设置环境保护图形标识标牌</w:t>
            </w:r>
            <w:r>
              <w:t>。</w:t>
            </w:r>
            <w:r>
              <w:rPr>
                <w:rFonts w:hint="eastAsia"/>
              </w:rPr>
              <w:t>本项目厂界噪声每季度监测一次，监测计划见下表</w:t>
            </w:r>
            <w:r>
              <w:t>。</w:t>
            </w:r>
          </w:p>
          <w:p w14:paraId="62B60D46">
            <w:pPr>
              <w:pStyle w:val="52"/>
            </w:pPr>
            <w:r>
              <w:t>噪声污染源监测计划</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585"/>
              <w:gridCol w:w="1120"/>
              <w:gridCol w:w="1127"/>
              <w:gridCol w:w="1455"/>
              <w:gridCol w:w="2915"/>
            </w:tblGrid>
            <w:tr w14:paraId="04593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97" w:type="pct"/>
                  <w:vAlign w:val="center"/>
                </w:tcPr>
                <w:p w14:paraId="3B1B293A">
                  <w:pPr>
                    <w:adjustRightInd w:val="0"/>
                    <w:snapToGrid w:val="0"/>
                    <w:jc w:val="center"/>
                    <w:rPr>
                      <w:b/>
                      <w:bCs/>
                      <w:color w:val="000000"/>
                      <w:szCs w:val="21"/>
                    </w:rPr>
                  </w:pPr>
                  <w:r>
                    <w:rPr>
                      <w:b/>
                      <w:bCs/>
                      <w:color w:val="000000"/>
                      <w:szCs w:val="21"/>
                    </w:rPr>
                    <w:t>类别</w:t>
                  </w:r>
                </w:p>
              </w:tc>
              <w:tc>
                <w:tcPr>
                  <w:tcW w:w="889" w:type="pct"/>
                  <w:vAlign w:val="center"/>
                </w:tcPr>
                <w:p w14:paraId="703BACAD">
                  <w:pPr>
                    <w:adjustRightInd w:val="0"/>
                    <w:snapToGrid w:val="0"/>
                    <w:jc w:val="center"/>
                    <w:rPr>
                      <w:b/>
                      <w:bCs/>
                      <w:color w:val="000000"/>
                      <w:szCs w:val="21"/>
                    </w:rPr>
                  </w:pPr>
                  <w:r>
                    <w:rPr>
                      <w:b/>
                      <w:bCs/>
                      <w:color w:val="000000"/>
                      <w:szCs w:val="21"/>
                    </w:rPr>
                    <w:t>监测点位</w:t>
                  </w:r>
                </w:p>
              </w:tc>
              <w:tc>
                <w:tcPr>
                  <w:tcW w:w="628" w:type="pct"/>
                  <w:vAlign w:val="center"/>
                </w:tcPr>
                <w:p w14:paraId="223081C6">
                  <w:pPr>
                    <w:adjustRightInd w:val="0"/>
                    <w:snapToGrid w:val="0"/>
                    <w:jc w:val="center"/>
                    <w:rPr>
                      <w:b/>
                      <w:bCs/>
                      <w:color w:val="000000"/>
                      <w:szCs w:val="21"/>
                    </w:rPr>
                  </w:pPr>
                  <w:r>
                    <w:rPr>
                      <w:b/>
                      <w:bCs/>
                      <w:color w:val="000000"/>
                      <w:szCs w:val="21"/>
                    </w:rPr>
                    <w:t>监测项目</w:t>
                  </w:r>
                </w:p>
              </w:tc>
              <w:tc>
                <w:tcPr>
                  <w:tcW w:w="632" w:type="pct"/>
                  <w:vAlign w:val="center"/>
                </w:tcPr>
                <w:p w14:paraId="0AB20C6F">
                  <w:pPr>
                    <w:adjustRightInd w:val="0"/>
                    <w:snapToGrid w:val="0"/>
                    <w:jc w:val="center"/>
                    <w:rPr>
                      <w:b/>
                      <w:bCs/>
                      <w:color w:val="000000"/>
                      <w:szCs w:val="21"/>
                    </w:rPr>
                  </w:pPr>
                  <w:r>
                    <w:rPr>
                      <w:b/>
                      <w:bCs/>
                      <w:color w:val="000000"/>
                      <w:szCs w:val="21"/>
                    </w:rPr>
                    <w:t>监测频次</w:t>
                  </w:r>
                </w:p>
              </w:tc>
              <w:tc>
                <w:tcPr>
                  <w:tcW w:w="816" w:type="pct"/>
                  <w:vAlign w:val="center"/>
                </w:tcPr>
                <w:p w14:paraId="4C4E8BCA">
                  <w:pPr>
                    <w:adjustRightInd w:val="0"/>
                    <w:snapToGrid w:val="0"/>
                    <w:jc w:val="center"/>
                    <w:rPr>
                      <w:b/>
                      <w:bCs/>
                      <w:color w:val="000000"/>
                      <w:szCs w:val="21"/>
                    </w:rPr>
                  </w:pPr>
                  <w:r>
                    <w:rPr>
                      <w:b/>
                      <w:bCs/>
                      <w:color w:val="000000"/>
                      <w:szCs w:val="21"/>
                    </w:rPr>
                    <w:t>监测时段</w:t>
                  </w:r>
                </w:p>
              </w:tc>
              <w:tc>
                <w:tcPr>
                  <w:tcW w:w="1635" w:type="pct"/>
                  <w:vAlign w:val="center"/>
                </w:tcPr>
                <w:p w14:paraId="5F14EE64">
                  <w:pPr>
                    <w:adjustRightInd w:val="0"/>
                    <w:snapToGrid w:val="0"/>
                    <w:jc w:val="center"/>
                    <w:rPr>
                      <w:b/>
                      <w:bCs/>
                      <w:color w:val="000000"/>
                      <w:szCs w:val="21"/>
                    </w:rPr>
                  </w:pPr>
                  <w:r>
                    <w:rPr>
                      <w:b/>
                      <w:bCs/>
                      <w:color w:val="000000"/>
                      <w:szCs w:val="21"/>
                    </w:rPr>
                    <w:t>执行标准</w:t>
                  </w:r>
                </w:p>
              </w:tc>
            </w:tr>
            <w:tr w14:paraId="5A892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Align w:val="center"/>
                </w:tcPr>
                <w:p w14:paraId="7C776150">
                  <w:pPr>
                    <w:pStyle w:val="54"/>
                  </w:pPr>
                  <w:r>
                    <w:t>噪声</w:t>
                  </w:r>
                </w:p>
              </w:tc>
              <w:tc>
                <w:tcPr>
                  <w:tcW w:w="889" w:type="pct"/>
                  <w:vAlign w:val="center"/>
                </w:tcPr>
                <w:p w14:paraId="22E98353">
                  <w:pPr>
                    <w:pStyle w:val="54"/>
                  </w:pPr>
                  <w:r>
                    <w:rPr>
                      <w:rFonts w:hint="eastAsia"/>
                    </w:rPr>
                    <w:t>厂界四周</w:t>
                  </w:r>
                </w:p>
              </w:tc>
              <w:tc>
                <w:tcPr>
                  <w:tcW w:w="628" w:type="pct"/>
                  <w:vAlign w:val="center"/>
                </w:tcPr>
                <w:p w14:paraId="1ECF40F2">
                  <w:pPr>
                    <w:pStyle w:val="54"/>
                  </w:pPr>
                  <w:r>
                    <w:t>等效连续A声级</w:t>
                  </w:r>
                </w:p>
              </w:tc>
              <w:tc>
                <w:tcPr>
                  <w:tcW w:w="632" w:type="pct"/>
                  <w:vAlign w:val="center"/>
                </w:tcPr>
                <w:p w14:paraId="48184705">
                  <w:pPr>
                    <w:pStyle w:val="54"/>
                  </w:pPr>
                  <w:r>
                    <w:t>1次/季度</w:t>
                  </w:r>
                </w:p>
              </w:tc>
              <w:tc>
                <w:tcPr>
                  <w:tcW w:w="816" w:type="pct"/>
                  <w:vAlign w:val="center"/>
                </w:tcPr>
                <w:p w14:paraId="7901390A">
                  <w:pPr>
                    <w:pStyle w:val="54"/>
                  </w:pPr>
                  <w:r>
                    <w:rPr>
                      <w:rFonts w:hint="eastAsia"/>
                    </w:rPr>
                    <w:t>昼夜</w:t>
                  </w:r>
                </w:p>
              </w:tc>
              <w:tc>
                <w:tcPr>
                  <w:tcW w:w="1635" w:type="pct"/>
                  <w:vAlign w:val="center"/>
                </w:tcPr>
                <w:p w14:paraId="43C185C2">
                  <w:pPr>
                    <w:pStyle w:val="54"/>
                  </w:pPr>
                  <w:r>
                    <w:t>《工业企业厂界环境噪声排放标准》（GB12348-2008）</w:t>
                  </w:r>
                  <w:r>
                    <w:rPr>
                      <w:rFonts w:hint="eastAsia"/>
                    </w:rPr>
                    <w:t>中2、4类标准</w:t>
                  </w:r>
                </w:p>
              </w:tc>
            </w:tr>
          </w:tbl>
          <w:p w14:paraId="545AAB9E">
            <w:pPr>
              <w:pStyle w:val="42"/>
              <w:spacing w:before="120" w:beforeLines="50"/>
              <w:ind w:firstLine="482"/>
              <w:jc w:val="left"/>
              <w:rPr>
                <w:b/>
                <w:bCs/>
              </w:rPr>
            </w:pPr>
            <w:r>
              <w:rPr>
                <w:rFonts w:hint="eastAsia"/>
                <w:b/>
                <w:bCs/>
              </w:rPr>
              <w:t>（四）</w:t>
            </w:r>
            <w:r>
              <w:rPr>
                <w:b/>
                <w:bCs/>
              </w:rPr>
              <w:t>固体废物</w:t>
            </w:r>
          </w:p>
          <w:p w14:paraId="165DBD36">
            <w:pPr>
              <w:pStyle w:val="42"/>
              <w:ind w:firstLine="482"/>
              <w:rPr>
                <w:b/>
                <w:bCs/>
              </w:rPr>
            </w:pPr>
            <w:r>
              <w:rPr>
                <w:b/>
                <w:bCs/>
              </w:rPr>
              <w:t>1、固废污染源情况</w:t>
            </w:r>
          </w:p>
          <w:p w14:paraId="2217FDC7">
            <w:pPr>
              <w:pStyle w:val="36"/>
              <w:ind w:firstLine="480"/>
              <w:rPr>
                <w:rFonts w:hint="default"/>
              </w:rPr>
            </w:pPr>
            <w:r>
              <w:t>本项目固体废物主要包括污水处理过程中产生的栅渣、沉砂、污泥、废包装材料</w:t>
            </w:r>
            <w:r>
              <w:rPr>
                <w:rFonts w:hint="eastAsia"/>
                <w:lang w:eastAsia="zh-CN"/>
              </w:rPr>
              <w:t>、</w:t>
            </w:r>
            <w:r>
              <w:t>实验室废液、在线监测废液、</w:t>
            </w:r>
            <w:r>
              <w:rPr>
                <w:rFonts w:hint="eastAsia"/>
                <w:lang w:eastAsia="zh-CN"/>
              </w:rPr>
              <w:t>废试剂包装物</w:t>
            </w:r>
            <w:r>
              <w:t>、废试剂及员工生活垃圾。</w:t>
            </w:r>
          </w:p>
          <w:p w14:paraId="37FB9467">
            <w:pPr>
              <w:pStyle w:val="36"/>
              <w:ind w:firstLine="480"/>
              <w:rPr>
                <w:rFonts w:hint="default"/>
              </w:rPr>
            </w:pPr>
            <w:bookmarkStart w:id="46" w:name="_Toc25088"/>
            <w:r>
              <w:t>（1）栅渣</w:t>
            </w:r>
            <w:bookmarkEnd w:id="46"/>
          </w:p>
          <w:p w14:paraId="3AD63E93">
            <w:pPr>
              <w:pStyle w:val="36"/>
              <w:ind w:firstLine="480"/>
              <w:rPr>
                <w:rFonts w:hint="default"/>
              </w:rPr>
            </w:pPr>
            <w:r>
              <w:t>在污水预处理阶段，由格栅分离出一定量的栅渣，主要是较大块状物、枝状物、软性物质和软塑料等粗、细垃圾和悬浮或漂浮状态的杂物。根据《室外排水设计标准》（GB50014-2021）中有关资料，栅渣产生量为0.03m</w:t>
            </w:r>
            <w:r>
              <w:rPr>
                <w:vertAlign w:val="superscript"/>
              </w:rPr>
              <w:t>3</w:t>
            </w:r>
            <w:r>
              <w:t>/1000m</w:t>
            </w:r>
            <w:r>
              <w:rPr>
                <w:vertAlign w:val="superscript"/>
              </w:rPr>
              <w:t>3</w:t>
            </w:r>
            <w:r>
              <w:t>污水，含水率60%，容重960kg/m</w:t>
            </w:r>
            <w:r>
              <w:rPr>
                <w:vertAlign w:val="superscript"/>
              </w:rPr>
              <w:t>3</w:t>
            </w:r>
            <w:r>
              <w:t>。项目污水处理</w:t>
            </w:r>
            <w:r>
              <w:rPr>
                <w:rFonts w:hint="eastAsia"/>
                <w:lang w:val="en-US" w:eastAsia="zh-CN"/>
              </w:rPr>
              <w:t>规模为500</w:t>
            </w:r>
            <w:r>
              <w:t>m</w:t>
            </w:r>
            <w:r>
              <w:rPr>
                <w:vertAlign w:val="superscript"/>
              </w:rPr>
              <w:t>3</w:t>
            </w:r>
            <w:r>
              <w:t>/d，年运行365d，按此估算，项目栅渣产生量为</w:t>
            </w:r>
            <w:r>
              <w:rPr>
                <w:rFonts w:hint="eastAsia"/>
                <w:lang w:val="en-US" w:eastAsia="zh-CN"/>
              </w:rPr>
              <w:t>0.0144</w:t>
            </w:r>
            <w:r>
              <w:t>t/d（</w:t>
            </w:r>
            <w:r>
              <w:rPr>
                <w:rFonts w:hint="eastAsia"/>
                <w:lang w:val="en-US" w:eastAsia="zh-CN"/>
              </w:rPr>
              <w:t>5.256</w:t>
            </w:r>
            <w:r>
              <w:t>t/a），属于一般工业固体废物（类别代码为99其他废物），定期交环卫部门处理。</w:t>
            </w:r>
          </w:p>
          <w:p w14:paraId="3E658873">
            <w:pPr>
              <w:pStyle w:val="52"/>
            </w:pPr>
            <w:r>
              <w:rPr>
                <w:rFonts w:hint="eastAsia"/>
              </w:rPr>
              <w:t>栅渣产生情况一览表</w:t>
            </w:r>
          </w:p>
          <w:tbl>
            <w:tblPr>
              <w:tblStyle w:val="29"/>
              <w:tblW w:w="88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34"/>
              <w:gridCol w:w="1364"/>
              <w:gridCol w:w="1905"/>
              <w:gridCol w:w="1905"/>
            </w:tblGrid>
            <w:tr w14:paraId="38BB8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4" w:type="dxa"/>
                  <w:tcBorders>
                    <w:tl2br w:val="nil"/>
                    <w:tr2bl w:val="nil"/>
                  </w:tcBorders>
                  <w:vAlign w:val="center"/>
                </w:tcPr>
                <w:p w14:paraId="2A238F71">
                  <w:pPr>
                    <w:pStyle w:val="38"/>
                    <w:rPr>
                      <w:b/>
                      <w:bCs/>
                    </w:rPr>
                  </w:pPr>
                  <w:r>
                    <w:rPr>
                      <w:rFonts w:hint="eastAsia"/>
                      <w:b/>
                      <w:bCs/>
                    </w:rPr>
                    <w:t>工程名称</w:t>
                  </w:r>
                </w:p>
              </w:tc>
              <w:tc>
                <w:tcPr>
                  <w:tcW w:w="1364" w:type="dxa"/>
                  <w:tcBorders>
                    <w:tl2br w:val="nil"/>
                    <w:tr2bl w:val="nil"/>
                  </w:tcBorders>
                  <w:vAlign w:val="center"/>
                </w:tcPr>
                <w:p w14:paraId="7670D474">
                  <w:pPr>
                    <w:pStyle w:val="38"/>
                    <w:rPr>
                      <w:b/>
                      <w:bCs/>
                    </w:rPr>
                  </w:pPr>
                  <w:r>
                    <w:rPr>
                      <w:b/>
                      <w:bCs/>
                    </w:rPr>
                    <w:t>污水处理规模（</w:t>
                  </w:r>
                  <w:r>
                    <w:t>m</w:t>
                  </w:r>
                  <w:r>
                    <w:rPr>
                      <w:vertAlign w:val="superscript"/>
                    </w:rPr>
                    <w:t>3</w:t>
                  </w:r>
                  <w:r>
                    <w:rPr>
                      <w:b/>
                      <w:bCs/>
                    </w:rPr>
                    <w:t>/d）</w:t>
                  </w:r>
                </w:p>
              </w:tc>
              <w:tc>
                <w:tcPr>
                  <w:tcW w:w="1905" w:type="dxa"/>
                  <w:tcBorders>
                    <w:tl2br w:val="nil"/>
                    <w:tr2bl w:val="nil"/>
                  </w:tcBorders>
                  <w:vAlign w:val="center"/>
                </w:tcPr>
                <w:p w14:paraId="1DE7A26D">
                  <w:pPr>
                    <w:pStyle w:val="38"/>
                    <w:rPr>
                      <w:b/>
                      <w:bCs/>
                    </w:rPr>
                  </w:pPr>
                  <w:r>
                    <w:rPr>
                      <w:rFonts w:hint="eastAsia"/>
                      <w:b/>
                      <w:bCs/>
                    </w:rPr>
                    <w:t>栅渣</w:t>
                  </w:r>
                  <w:r>
                    <w:rPr>
                      <w:b/>
                      <w:bCs/>
                    </w:rPr>
                    <w:t>（</w:t>
                  </w:r>
                  <w:r>
                    <w:rPr>
                      <w:rFonts w:hint="eastAsia"/>
                      <w:b/>
                      <w:bCs/>
                    </w:rPr>
                    <w:t>60</w:t>
                  </w:r>
                  <w:r>
                    <w:rPr>
                      <w:b/>
                      <w:bCs/>
                    </w:rPr>
                    <w:t>%含水率）</w:t>
                  </w:r>
                </w:p>
                <w:p w14:paraId="10B5C553">
                  <w:pPr>
                    <w:pStyle w:val="38"/>
                    <w:rPr>
                      <w:b/>
                      <w:bCs/>
                    </w:rPr>
                  </w:pPr>
                  <w:r>
                    <w:rPr>
                      <w:b/>
                      <w:bCs/>
                    </w:rPr>
                    <w:t>规模（t/d）</w:t>
                  </w:r>
                </w:p>
              </w:tc>
              <w:tc>
                <w:tcPr>
                  <w:tcW w:w="1905" w:type="dxa"/>
                  <w:tcBorders>
                    <w:tl2br w:val="nil"/>
                    <w:tr2bl w:val="nil"/>
                  </w:tcBorders>
                  <w:vAlign w:val="center"/>
                </w:tcPr>
                <w:p w14:paraId="6D136B19">
                  <w:pPr>
                    <w:pStyle w:val="38"/>
                    <w:rPr>
                      <w:b/>
                      <w:bCs/>
                    </w:rPr>
                  </w:pPr>
                  <w:r>
                    <w:rPr>
                      <w:rFonts w:hint="eastAsia"/>
                      <w:b/>
                      <w:bCs/>
                    </w:rPr>
                    <w:t>年产生量（t/a）</w:t>
                  </w:r>
                </w:p>
              </w:tc>
            </w:tr>
            <w:tr w14:paraId="37F9A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4" w:type="dxa"/>
                  <w:tcBorders>
                    <w:tl2br w:val="nil"/>
                    <w:tr2bl w:val="nil"/>
                  </w:tcBorders>
                  <w:vAlign w:val="center"/>
                </w:tcPr>
                <w:p w14:paraId="10427472">
                  <w:pPr>
                    <w:pStyle w:val="38"/>
                    <w:rPr>
                      <w:rFonts w:hint="eastAsia" w:eastAsia="宋体"/>
                      <w:lang w:eastAsia="zh-CN"/>
                    </w:rPr>
                  </w:pPr>
                  <w:r>
                    <w:rPr>
                      <w:rFonts w:hint="eastAsia"/>
                      <w:lang w:eastAsia="zh-CN"/>
                    </w:rPr>
                    <w:t>宁都县青塘镇污水处理厂工程</w:t>
                  </w:r>
                </w:p>
              </w:tc>
              <w:tc>
                <w:tcPr>
                  <w:tcW w:w="1364" w:type="dxa"/>
                  <w:tcBorders>
                    <w:tl2br w:val="nil"/>
                    <w:tr2bl w:val="nil"/>
                  </w:tcBorders>
                  <w:vAlign w:val="center"/>
                </w:tcPr>
                <w:p w14:paraId="285E9C77">
                  <w:pPr>
                    <w:pStyle w:val="38"/>
                    <w:rPr>
                      <w:rFonts w:hint="default" w:eastAsia="宋体"/>
                      <w:lang w:val="en-US" w:eastAsia="zh-CN"/>
                    </w:rPr>
                  </w:pPr>
                  <w:r>
                    <w:rPr>
                      <w:rFonts w:hint="eastAsia"/>
                      <w:lang w:val="en-US" w:eastAsia="zh-CN"/>
                    </w:rPr>
                    <w:t>500</w:t>
                  </w:r>
                </w:p>
              </w:tc>
              <w:tc>
                <w:tcPr>
                  <w:tcW w:w="1905" w:type="dxa"/>
                  <w:tcBorders>
                    <w:tl2br w:val="nil"/>
                    <w:tr2bl w:val="nil"/>
                  </w:tcBorders>
                  <w:vAlign w:val="center"/>
                </w:tcPr>
                <w:p w14:paraId="22BA4815">
                  <w:pPr>
                    <w:pStyle w:val="38"/>
                    <w:rPr>
                      <w:rFonts w:hint="default" w:eastAsia="宋体"/>
                      <w:lang w:val="en-US" w:eastAsia="zh-CN"/>
                    </w:rPr>
                  </w:pPr>
                  <w:r>
                    <w:rPr>
                      <w:rFonts w:hint="eastAsia"/>
                      <w:lang w:val="en-US" w:eastAsia="zh-CN"/>
                    </w:rPr>
                    <w:t>0.0144</w:t>
                  </w:r>
                </w:p>
              </w:tc>
              <w:tc>
                <w:tcPr>
                  <w:tcW w:w="1905" w:type="dxa"/>
                  <w:tcBorders>
                    <w:tl2br w:val="nil"/>
                    <w:tr2bl w:val="nil"/>
                  </w:tcBorders>
                  <w:vAlign w:val="center"/>
                </w:tcPr>
                <w:p w14:paraId="46FC370D">
                  <w:pPr>
                    <w:pStyle w:val="38"/>
                    <w:rPr>
                      <w:rFonts w:hint="default" w:eastAsia="宋体"/>
                      <w:lang w:val="en-US" w:eastAsia="zh-CN"/>
                    </w:rPr>
                  </w:pPr>
                  <w:r>
                    <w:rPr>
                      <w:rFonts w:hint="eastAsia"/>
                      <w:lang w:val="en-US" w:eastAsia="zh-CN"/>
                    </w:rPr>
                    <w:t>5.256</w:t>
                  </w:r>
                </w:p>
              </w:tc>
            </w:tr>
          </w:tbl>
          <w:p w14:paraId="092A4361">
            <w:pPr>
              <w:pStyle w:val="36"/>
              <w:ind w:firstLine="480"/>
              <w:rPr>
                <w:rFonts w:hint="default"/>
              </w:rPr>
            </w:pPr>
            <w:bookmarkStart w:id="47" w:name="_Toc27753"/>
            <w:r>
              <w:t>（2）沉砂</w:t>
            </w:r>
            <w:bookmarkEnd w:id="47"/>
          </w:p>
          <w:p w14:paraId="31937D8A">
            <w:pPr>
              <w:pStyle w:val="36"/>
              <w:ind w:firstLine="480"/>
              <w:rPr>
                <w:rFonts w:hint="default"/>
              </w:rPr>
            </w:pPr>
            <w:r>
              <w:t>项目污水处理厂高效沉淀池会分离出一定量的沉砂，主要含无机砂粒，根据《室外排水设计标准》（GB50014-2021）中有关资料，每万吨污水约产生0.45t沉砂，含水率60%，容重1t/m</w:t>
            </w:r>
            <w:r>
              <w:rPr>
                <w:vertAlign w:val="superscript"/>
              </w:rPr>
              <w:t>3</w:t>
            </w:r>
            <w:r>
              <w:t>。</w:t>
            </w:r>
            <w:r>
              <w:rPr>
                <w:rFonts w:hint="eastAsia"/>
              </w:rPr>
              <w:t>项目污水处理规模为500</w:t>
            </w:r>
            <w:r>
              <w:t>m</w:t>
            </w:r>
            <w:r>
              <w:rPr>
                <w:vertAlign w:val="superscript"/>
              </w:rPr>
              <w:t>3</w:t>
            </w:r>
            <w:r>
              <w:rPr>
                <w:rFonts w:hint="eastAsia"/>
              </w:rPr>
              <w:t>/d，年运行365d，</w:t>
            </w:r>
            <w:r>
              <w:t>按此计算，项目产生量约</w:t>
            </w:r>
            <w:r>
              <w:rPr>
                <w:rFonts w:hint="eastAsia"/>
                <w:lang w:val="en-US" w:eastAsia="zh-CN"/>
              </w:rPr>
              <w:t>0.0225</w:t>
            </w:r>
            <w:r>
              <w:t>t/d（</w:t>
            </w:r>
            <w:r>
              <w:rPr>
                <w:rFonts w:hint="eastAsia"/>
                <w:lang w:val="en-US" w:eastAsia="zh-CN"/>
              </w:rPr>
              <w:t>8.213</w:t>
            </w:r>
            <w:r>
              <w:t>t/a），属于一般工业固体废物（类别代码为99其他废物），定期交环卫部门处理。</w:t>
            </w:r>
          </w:p>
          <w:p w14:paraId="6B34E4E2">
            <w:pPr>
              <w:pStyle w:val="52"/>
            </w:pPr>
            <w:r>
              <w:rPr>
                <w:rFonts w:hint="eastAsia"/>
              </w:rPr>
              <w:t>沉砂产生情况一览表</w:t>
            </w:r>
          </w:p>
          <w:tbl>
            <w:tblPr>
              <w:tblStyle w:val="29"/>
              <w:tblW w:w="88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34"/>
              <w:gridCol w:w="1594"/>
              <w:gridCol w:w="1938"/>
              <w:gridCol w:w="1642"/>
            </w:tblGrid>
            <w:tr w14:paraId="42169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4" w:type="dxa"/>
                  <w:tcBorders>
                    <w:tl2br w:val="nil"/>
                    <w:tr2bl w:val="nil"/>
                  </w:tcBorders>
                  <w:vAlign w:val="center"/>
                </w:tcPr>
                <w:p w14:paraId="4B1DBF5E">
                  <w:pPr>
                    <w:pStyle w:val="38"/>
                    <w:rPr>
                      <w:b/>
                      <w:bCs/>
                    </w:rPr>
                  </w:pPr>
                  <w:r>
                    <w:rPr>
                      <w:rFonts w:hint="eastAsia"/>
                      <w:b/>
                      <w:bCs/>
                    </w:rPr>
                    <w:t>工程名称</w:t>
                  </w:r>
                </w:p>
              </w:tc>
              <w:tc>
                <w:tcPr>
                  <w:tcW w:w="1594" w:type="dxa"/>
                  <w:tcBorders>
                    <w:tl2br w:val="nil"/>
                    <w:tr2bl w:val="nil"/>
                  </w:tcBorders>
                  <w:vAlign w:val="center"/>
                </w:tcPr>
                <w:p w14:paraId="28BC7BD9">
                  <w:pPr>
                    <w:pStyle w:val="38"/>
                    <w:rPr>
                      <w:b/>
                      <w:bCs/>
                    </w:rPr>
                  </w:pPr>
                  <w:r>
                    <w:rPr>
                      <w:b/>
                      <w:bCs/>
                    </w:rPr>
                    <w:t>污水处理规模（万</w:t>
                  </w:r>
                  <w:r>
                    <w:t>m</w:t>
                  </w:r>
                  <w:r>
                    <w:rPr>
                      <w:vertAlign w:val="superscript"/>
                    </w:rPr>
                    <w:t>3</w:t>
                  </w:r>
                  <w:r>
                    <w:rPr>
                      <w:b/>
                      <w:bCs/>
                    </w:rPr>
                    <w:t>/d）</w:t>
                  </w:r>
                </w:p>
              </w:tc>
              <w:tc>
                <w:tcPr>
                  <w:tcW w:w="1938" w:type="dxa"/>
                  <w:tcBorders>
                    <w:tl2br w:val="nil"/>
                    <w:tr2bl w:val="nil"/>
                  </w:tcBorders>
                  <w:vAlign w:val="center"/>
                </w:tcPr>
                <w:p w14:paraId="2A3AB4BE">
                  <w:pPr>
                    <w:pStyle w:val="38"/>
                    <w:rPr>
                      <w:b/>
                      <w:bCs/>
                    </w:rPr>
                  </w:pPr>
                  <w:r>
                    <w:rPr>
                      <w:rFonts w:hint="eastAsia"/>
                      <w:b/>
                      <w:bCs/>
                    </w:rPr>
                    <w:t>沉砂</w:t>
                  </w:r>
                  <w:r>
                    <w:rPr>
                      <w:b/>
                      <w:bCs/>
                    </w:rPr>
                    <w:t>（</w:t>
                  </w:r>
                  <w:r>
                    <w:rPr>
                      <w:rFonts w:hint="eastAsia"/>
                      <w:b/>
                      <w:bCs/>
                    </w:rPr>
                    <w:t>60</w:t>
                  </w:r>
                  <w:r>
                    <w:rPr>
                      <w:b/>
                      <w:bCs/>
                    </w:rPr>
                    <w:t>%含水率）</w:t>
                  </w:r>
                </w:p>
                <w:p w14:paraId="1920FFD2">
                  <w:pPr>
                    <w:pStyle w:val="38"/>
                    <w:rPr>
                      <w:b/>
                      <w:bCs/>
                    </w:rPr>
                  </w:pPr>
                  <w:r>
                    <w:rPr>
                      <w:b/>
                      <w:bCs/>
                    </w:rPr>
                    <w:t>规模（t/d）</w:t>
                  </w:r>
                </w:p>
              </w:tc>
              <w:tc>
                <w:tcPr>
                  <w:tcW w:w="1642" w:type="dxa"/>
                  <w:tcBorders>
                    <w:tl2br w:val="nil"/>
                    <w:tr2bl w:val="nil"/>
                  </w:tcBorders>
                  <w:vAlign w:val="center"/>
                </w:tcPr>
                <w:p w14:paraId="5DEA93F0">
                  <w:pPr>
                    <w:pStyle w:val="38"/>
                    <w:rPr>
                      <w:b/>
                      <w:bCs/>
                    </w:rPr>
                  </w:pPr>
                  <w:r>
                    <w:rPr>
                      <w:rFonts w:hint="eastAsia"/>
                      <w:b/>
                      <w:bCs/>
                    </w:rPr>
                    <w:t>年产生量（t/a）</w:t>
                  </w:r>
                </w:p>
              </w:tc>
            </w:tr>
            <w:tr w14:paraId="249FF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4" w:type="dxa"/>
                  <w:tcBorders>
                    <w:tl2br w:val="nil"/>
                    <w:tr2bl w:val="nil"/>
                  </w:tcBorders>
                  <w:vAlign w:val="center"/>
                </w:tcPr>
                <w:p w14:paraId="10290B02">
                  <w:pPr>
                    <w:pStyle w:val="38"/>
                    <w:rPr>
                      <w:rFonts w:hint="eastAsia" w:eastAsia="宋体"/>
                      <w:lang w:eastAsia="zh-CN"/>
                    </w:rPr>
                  </w:pPr>
                  <w:r>
                    <w:rPr>
                      <w:rFonts w:hint="eastAsia"/>
                      <w:lang w:eastAsia="zh-CN"/>
                    </w:rPr>
                    <w:t>宁都县青塘镇污水处理厂工程</w:t>
                  </w:r>
                </w:p>
              </w:tc>
              <w:tc>
                <w:tcPr>
                  <w:tcW w:w="1594" w:type="dxa"/>
                  <w:tcBorders>
                    <w:tl2br w:val="nil"/>
                    <w:tr2bl w:val="nil"/>
                  </w:tcBorders>
                  <w:vAlign w:val="center"/>
                </w:tcPr>
                <w:p w14:paraId="78B86696">
                  <w:pPr>
                    <w:pStyle w:val="38"/>
                    <w:rPr>
                      <w:rFonts w:hint="default" w:eastAsia="宋体"/>
                      <w:lang w:val="en-US" w:eastAsia="zh-CN"/>
                    </w:rPr>
                  </w:pPr>
                  <w:r>
                    <w:rPr>
                      <w:rFonts w:hint="eastAsia"/>
                      <w:lang w:val="en-US" w:eastAsia="zh-CN"/>
                    </w:rPr>
                    <w:t>500</w:t>
                  </w:r>
                </w:p>
              </w:tc>
              <w:tc>
                <w:tcPr>
                  <w:tcW w:w="1938" w:type="dxa"/>
                  <w:tcBorders>
                    <w:tl2br w:val="nil"/>
                    <w:tr2bl w:val="nil"/>
                  </w:tcBorders>
                  <w:vAlign w:val="center"/>
                </w:tcPr>
                <w:p w14:paraId="7CA1BA7A">
                  <w:pPr>
                    <w:pStyle w:val="38"/>
                    <w:rPr>
                      <w:rFonts w:hint="default" w:eastAsia="宋体"/>
                      <w:lang w:val="en-US" w:eastAsia="zh-CN"/>
                    </w:rPr>
                  </w:pPr>
                  <w:r>
                    <w:rPr>
                      <w:rFonts w:hint="eastAsia"/>
                      <w:lang w:val="en-US" w:eastAsia="zh-CN"/>
                    </w:rPr>
                    <w:t>0.0225</w:t>
                  </w:r>
                </w:p>
              </w:tc>
              <w:tc>
                <w:tcPr>
                  <w:tcW w:w="1642" w:type="dxa"/>
                  <w:tcBorders>
                    <w:tl2br w:val="nil"/>
                    <w:tr2bl w:val="nil"/>
                  </w:tcBorders>
                  <w:vAlign w:val="center"/>
                </w:tcPr>
                <w:p w14:paraId="1B66D333">
                  <w:pPr>
                    <w:pStyle w:val="38"/>
                    <w:rPr>
                      <w:rFonts w:hint="default" w:eastAsia="宋体"/>
                      <w:lang w:val="en-US" w:eastAsia="zh-CN"/>
                    </w:rPr>
                  </w:pPr>
                  <w:r>
                    <w:rPr>
                      <w:rFonts w:hint="eastAsia"/>
                      <w:lang w:val="en-US" w:eastAsia="zh-CN"/>
                    </w:rPr>
                    <w:t>8.213</w:t>
                  </w:r>
                </w:p>
              </w:tc>
            </w:tr>
          </w:tbl>
          <w:p w14:paraId="11EED05B">
            <w:pPr>
              <w:pStyle w:val="36"/>
              <w:ind w:firstLine="480"/>
              <w:rPr>
                <w:rFonts w:hint="default"/>
              </w:rPr>
            </w:pPr>
            <w:bookmarkStart w:id="48" w:name="_Toc4915"/>
            <w:r>
              <w:t>（3）污泥</w:t>
            </w:r>
            <w:bookmarkEnd w:id="48"/>
          </w:p>
          <w:p w14:paraId="7CDEF44F">
            <w:pPr>
              <w:pStyle w:val="36"/>
              <w:ind w:firstLine="480"/>
              <w:rPr>
                <w:rFonts w:hint="default"/>
              </w:rPr>
            </w:pPr>
            <w:r>
              <w:t>项目污水处理过程中会产生大量的活性污泥，一部分留在</w:t>
            </w:r>
            <w:r>
              <w:rPr>
                <w:rFonts w:hint="eastAsia"/>
                <w:lang w:val="en-US" w:eastAsia="zh-CN"/>
              </w:rPr>
              <w:t>一体化</w:t>
            </w:r>
            <w:r>
              <w:t>生物处理池内，以维持处理池内的污泥浓度，剩余活性污泥主要从各构筑物排出</w:t>
            </w:r>
            <w:bookmarkStart w:id="49" w:name="_Hlk103182093"/>
            <w:r>
              <w:t>，通过浓缩、脱水</w:t>
            </w:r>
            <w:bookmarkEnd w:id="49"/>
            <w:r>
              <w:t>后定期委外处理。根据建设单位提供资料及项目可研报告等文件，项目污水处理厂污泥产生情况如下：</w:t>
            </w:r>
          </w:p>
          <w:p w14:paraId="1E1FE321">
            <w:pPr>
              <w:pStyle w:val="52"/>
            </w:pPr>
            <w:r>
              <w:rPr>
                <w:rFonts w:hint="eastAsia"/>
              </w:rPr>
              <w:t>污泥产生情况一览表</w:t>
            </w:r>
          </w:p>
          <w:tbl>
            <w:tblPr>
              <w:tblStyle w:val="2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94"/>
              <w:gridCol w:w="1753"/>
              <w:gridCol w:w="2275"/>
              <w:gridCol w:w="1594"/>
            </w:tblGrid>
            <w:tr w14:paraId="39619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4" w:type="dxa"/>
                  <w:tcBorders>
                    <w:tl2br w:val="nil"/>
                    <w:tr2bl w:val="nil"/>
                  </w:tcBorders>
                  <w:vAlign w:val="center"/>
                </w:tcPr>
                <w:p w14:paraId="0B4B0810">
                  <w:pPr>
                    <w:pStyle w:val="38"/>
                    <w:rPr>
                      <w:b/>
                      <w:bCs/>
                    </w:rPr>
                  </w:pPr>
                  <w:r>
                    <w:rPr>
                      <w:rFonts w:hint="eastAsia"/>
                      <w:b/>
                      <w:bCs/>
                    </w:rPr>
                    <w:t>工程名称</w:t>
                  </w:r>
                </w:p>
              </w:tc>
              <w:tc>
                <w:tcPr>
                  <w:tcW w:w="1753" w:type="dxa"/>
                  <w:tcBorders>
                    <w:tl2br w:val="nil"/>
                    <w:tr2bl w:val="nil"/>
                  </w:tcBorders>
                  <w:vAlign w:val="center"/>
                </w:tcPr>
                <w:p w14:paraId="23932094">
                  <w:pPr>
                    <w:pStyle w:val="38"/>
                    <w:rPr>
                      <w:b/>
                      <w:bCs/>
                    </w:rPr>
                  </w:pPr>
                  <w:r>
                    <w:rPr>
                      <w:b/>
                      <w:bCs/>
                    </w:rPr>
                    <w:t>污水处理规模（万</w:t>
                  </w:r>
                  <w:r>
                    <w:t>m</w:t>
                  </w:r>
                  <w:r>
                    <w:rPr>
                      <w:vertAlign w:val="superscript"/>
                    </w:rPr>
                    <w:t>3</w:t>
                  </w:r>
                  <w:r>
                    <w:rPr>
                      <w:b/>
                      <w:bCs/>
                    </w:rPr>
                    <w:t>/d）</w:t>
                  </w:r>
                </w:p>
              </w:tc>
              <w:tc>
                <w:tcPr>
                  <w:tcW w:w="2275" w:type="dxa"/>
                  <w:tcBorders>
                    <w:tl2br w:val="nil"/>
                    <w:tr2bl w:val="nil"/>
                  </w:tcBorders>
                  <w:vAlign w:val="center"/>
                </w:tcPr>
                <w:p w14:paraId="2BEA42A2">
                  <w:pPr>
                    <w:pStyle w:val="38"/>
                    <w:rPr>
                      <w:b/>
                      <w:bCs/>
                    </w:rPr>
                  </w:pPr>
                  <w:r>
                    <w:rPr>
                      <w:b/>
                      <w:bCs/>
                    </w:rPr>
                    <w:t>污泥（80%含水率）</w:t>
                  </w:r>
                </w:p>
                <w:p w14:paraId="7DBF337A">
                  <w:pPr>
                    <w:pStyle w:val="38"/>
                    <w:rPr>
                      <w:b/>
                      <w:bCs/>
                    </w:rPr>
                  </w:pPr>
                  <w:r>
                    <w:rPr>
                      <w:b/>
                      <w:bCs/>
                    </w:rPr>
                    <w:t>规模（t/d）</w:t>
                  </w:r>
                </w:p>
              </w:tc>
              <w:tc>
                <w:tcPr>
                  <w:tcW w:w="1594" w:type="dxa"/>
                  <w:tcBorders>
                    <w:tl2br w:val="nil"/>
                    <w:tr2bl w:val="nil"/>
                  </w:tcBorders>
                  <w:vAlign w:val="center"/>
                </w:tcPr>
                <w:p w14:paraId="1A28AB76">
                  <w:pPr>
                    <w:pStyle w:val="38"/>
                    <w:rPr>
                      <w:b/>
                      <w:bCs/>
                    </w:rPr>
                  </w:pPr>
                  <w:r>
                    <w:rPr>
                      <w:rFonts w:hint="eastAsia"/>
                      <w:b/>
                      <w:bCs/>
                    </w:rPr>
                    <w:t>年产生量（t/a）</w:t>
                  </w:r>
                </w:p>
              </w:tc>
            </w:tr>
            <w:tr w14:paraId="7E027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4" w:type="dxa"/>
                  <w:tcBorders>
                    <w:tl2br w:val="nil"/>
                    <w:tr2bl w:val="nil"/>
                  </w:tcBorders>
                  <w:vAlign w:val="center"/>
                </w:tcPr>
                <w:p w14:paraId="04B4F1B8">
                  <w:pPr>
                    <w:pStyle w:val="38"/>
                    <w:rPr>
                      <w:rFonts w:hint="eastAsia" w:eastAsia="宋体"/>
                      <w:lang w:eastAsia="zh-CN"/>
                    </w:rPr>
                  </w:pPr>
                  <w:r>
                    <w:rPr>
                      <w:rFonts w:hint="eastAsia"/>
                      <w:lang w:eastAsia="zh-CN"/>
                    </w:rPr>
                    <w:t>宁都县青塘镇污水处理厂工程</w:t>
                  </w:r>
                </w:p>
              </w:tc>
              <w:tc>
                <w:tcPr>
                  <w:tcW w:w="1753" w:type="dxa"/>
                  <w:tcBorders>
                    <w:tl2br w:val="nil"/>
                    <w:tr2bl w:val="nil"/>
                  </w:tcBorders>
                  <w:vAlign w:val="center"/>
                </w:tcPr>
                <w:p w14:paraId="12AA2C91">
                  <w:pPr>
                    <w:pStyle w:val="38"/>
                    <w:rPr>
                      <w:rFonts w:hint="default" w:eastAsia="宋体"/>
                      <w:lang w:val="en-US" w:eastAsia="zh-CN"/>
                    </w:rPr>
                  </w:pPr>
                  <w:r>
                    <w:rPr>
                      <w:rFonts w:hint="eastAsia"/>
                      <w:lang w:val="en-US" w:eastAsia="zh-CN"/>
                    </w:rPr>
                    <w:t>500</w:t>
                  </w:r>
                </w:p>
              </w:tc>
              <w:tc>
                <w:tcPr>
                  <w:tcW w:w="2275" w:type="dxa"/>
                  <w:tcBorders>
                    <w:tl2br w:val="nil"/>
                    <w:tr2bl w:val="nil"/>
                  </w:tcBorders>
                  <w:vAlign w:val="center"/>
                </w:tcPr>
                <w:p w14:paraId="21EE3EEC">
                  <w:pPr>
                    <w:pStyle w:val="38"/>
                    <w:rPr>
                      <w:rFonts w:hint="default" w:eastAsia="宋体"/>
                      <w:lang w:val="en-US" w:eastAsia="zh-CN"/>
                    </w:rPr>
                  </w:pPr>
                  <w:r>
                    <w:rPr>
                      <w:rFonts w:hint="eastAsia"/>
                      <w:lang w:val="en-US" w:eastAsia="zh-CN"/>
                    </w:rPr>
                    <w:t>0.375</w:t>
                  </w:r>
                </w:p>
              </w:tc>
              <w:tc>
                <w:tcPr>
                  <w:tcW w:w="1594" w:type="dxa"/>
                  <w:tcBorders>
                    <w:tl2br w:val="nil"/>
                    <w:tr2bl w:val="nil"/>
                  </w:tcBorders>
                  <w:vAlign w:val="center"/>
                </w:tcPr>
                <w:p w14:paraId="087E52E9">
                  <w:pPr>
                    <w:pStyle w:val="38"/>
                    <w:rPr>
                      <w:rFonts w:hint="eastAsia" w:eastAsia="宋体"/>
                      <w:lang w:eastAsia="zh-CN"/>
                    </w:rPr>
                  </w:pPr>
                  <w:r>
                    <w:rPr>
                      <w:rFonts w:hint="eastAsia"/>
                      <w:lang w:val="en-US" w:eastAsia="zh-CN"/>
                    </w:rPr>
                    <w:t>136.875</w:t>
                  </w:r>
                </w:p>
              </w:tc>
            </w:tr>
          </w:tbl>
          <w:p w14:paraId="169BF756">
            <w:pPr>
              <w:pStyle w:val="36"/>
              <w:ind w:firstLine="480"/>
              <w:rPr>
                <w:rFonts w:hint="default"/>
              </w:rPr>
            </w:pPr>
            <w:r>
              <w:t>项目均为生活污水处理厂，运营产生的污泥则按一般工业固体废物管理、贮存和处置，污泥经初步处理至80%含水率后</w:t>
            </w:r>
            <w:r>
              <w:rPr>
                <w:rFonts w:hint="eastAsia"/>
                <w:lang w:val="en-US" w:eastAsia="zh-CN"/>
              </w:rPr>
              <w:t>外运处置</w:t>
            </w:r>
            <w:r>
              <w:t>。</w:t>
            </w:r>
            <w:bookmarkStart w:id="50" w:name="_Hlk127478322"/>
          </w:p>
          <w:p w14:paraId="6E5298AA">
            <w:pPr>
              <w:pStyle w:val="36"/>
              <w:ind w:firstLine="480"/>
              <w:rPr>
                <w:rFonts w:hint="default"/>
              </w:rPr>
            </w:pPr>
            <w:r>
              <w:t>（4）</w:t>
            </w:r>
            <w:bookmarkEnd w:id="50"/>
            <w:bookmarkStart w:id="51" w:name="_Hlk127206248"/>
            <w:bookmarkStart w:id="52" w:name="_Toc29812"/>
            <w:r>
              <w:t>实验室废液、在线监测废液、</w:t>
            </w:r>
            <w:bookmarkEnd w:id="51"/>
            <w:bookmarkEnd w:id="52"/>
            <w:r>
              <w:rPr>
                <w:rFonts w:hint="eastAsia"/>
                <w:lang w:eastAsia="zh-CN"/>
              </w:rPr>
              <w:t>废试剂包装物</w:t>
            </w:r>
            <w:r>
              <w:t>、废试剂</w:t>
            </w:r>
          </w:p>
          <w:p w14:paraId="2C03B96F">
            <w:pPr>
              <w:pStyle w:val="36"/>
              <w:ind w:firstLine="480"/>
              <w:rPr>
                <w:rFonts w:hint="default"/>
              </w:rPr>
            </w:pPr>
            <w:r>
              <w:t>①</w:t>
            </w:r>
            <w:r>
              <w:rPr>
                <w:rFonts w:hint="default"/>
              </w:rPr>
              <w:t>在线监测废液</w:t>
            </w:r>
          </w:p>
          <w:p w14:paraId="251E32D8">
            <w:pPr>
              <w:pStyle w:val="36"/>
              <w:ind w:firstLine="480"/>
              <w:rPr>
                <w:rFonts w:hint="default"/>
              </w:rPr>
            </w:pPr>
            <w:r>
              <w:rPr>
                <w:rFonts w:hint="default"/>
              </w:rPr>
              <w:t>污水处理工程安装在线监测后，在水质在线监测过程中将产生少量的含酸、重金属的实验废液，</w:t>
            </w:r>
            <w:r>
              <w:t>产生量约0.</w:t>
            </w:r>
            <w:r>
              <w:rPr>
                <w:rFonts w:hint="eastAsia"/>
                <w:lang w:val="en-US" w:eastAsia="zh-CN"/>
              </w:rPr>
              <w:t>05</w:t>
            </w:r>
            <w:r>
              <w:t>t/a</w:t>
            </w:r>
            <w:r>
              <w:rPr>
                <w:rFonts w:hint="default"/>
              </w:rPr>
              <w:t>，对照《国家危险废物名录》（2021版），属于危险废物HW49其他废物—非特定行业—化学和生物实验室（不包含感染性医学实验室及医疗机构</w:t>
            </w:r>
            <w:r>
              <w:t>水质分析室</w:t>
            </w:r>
            <w:r>
              <w:rPr>
                <w:rFonts w:hint="default"/>
              </w:rPr>
              <w:t>）产生的含氰、氟、重金属无机废液及无机废液处理产生的残渣、残液，废物代码900-047-49。该部分实验废液由专用容器收集封装，暂存于危废暂存间内。定期交由有资质单位处置。</w:t>
            </w:r>
          </w:p>
          <w:p w14:paraId="78E9A9EB">
            <w:pPr>
              <w:pStyle w:val="36"/>
              <w:ind w:firstLine="480"/>
              <w:rPr>
                <w:rFonts w:hint="default"/>
              </w:rPr>
            </w:pPr>
            <w:r>
              <w:t>②实验室废液</w:t>
            </w:r>
          </w:p>
          <w:p w14:paraId="2451DA56">
            <w:pPr>
              <w:pStyle w:val="36"/>
              <w:ind w:firstLine="480"/>
              <w:rPr>
                <w:rFonts w:hint="default"/>
              </w:rPr>
            </w:pPr>
            <w:r>
              <w:t>项目</w:t>
            </w:r>
            <w:r>
              <w:rPr>
                <w:rFonts w:hint="eastAsia"/>
                <w:lang w:val="en-US" w:eastAsia="zh-CN"/>
              </w:rPr>
              <w:t>运营期</w:t>
            </w:r>
            <w:r>
              <w:t>对水样进行简单的测试，根据建设单位提供资料，水样和试剂混合的废液产生量约</w:t>
            </w:r>
            <w:r>
              <w:rPr>
                <w:rFonts w:hint="eastAsia"/>
                <w:lang w:val="en-US" w:eastAsia="zh-CN"/>
              </w:rPr>
              <w:t>0.1</w:t>
            </w:r>
            <w:r>
              <w:t>t</w:t>
            </w:r>
            <w:r>
              <w:rPr>
                <w:rFonts w:hint="default"/>
              </w:rPr>
              <w:t>/a</w:t>
            </w:r>
            <w:r>
              <w:t>，按危险废物处置，不外排。根据</w:t>
            </w:r>
            <w:r>
              <w:rPr>
                <w:rFonts w:hint="default"/>
              </w:rPr>
              <w:t>《国家危险废物名录（2021）》，项目</w:t>
            </w:r>
            <w:r>
              <w:t>实验</w:t>
            </w:r>
            <w:r>
              <w:rPr>
                <w:rFonts w:hint="default"/>
              </w:rPr>
              <w:t>废液</w:t>
            </w:r>
            <w:r>
              <w:t>属于危险废物（危废编号为</w:t>
            </w:r>
            <w:r>
              <w:rPr>
                <w:rFonts w:hint="default"/>
              </w:rPr>
              <w:t>HW49其他废物</w:t>
            </w:r>
            <w:r>
              <w:t>，固废代码</w:t>
            </w:r>
            <w:r>
              <w:rPr>
                <w:rFonts w:hint="default"/>
              </w:rPr>
              <w:t>900-047-49</w:t>
            </w:r>
            <w:r>
              <w:t>）</w:t>
            </w:r>
            <w:r>
              <w:rPr>
                <w:rFonts w:hint="default"/>
              </w:rPr>
              <w:t>，收集后暂存于危废暂存间，定期委托有危废处置资质的单位处置。</w:t>
            </w:r>
          </w:p>
          <w:p w14:paraId="30557D2A">
            <w:pPr>
              <w:pStyle w:val="36"/>
              <w:ind w:firstLine="480"/>
              <w:rPr>
                <w:rFonts w:hint="default"/>
              </w:rPr>
            </w:pPr>
            <w:r>
              <w:t>③废</w:t>
            </w:r>
            <w:r>
              <w:rPr>
                <w:rFonts w:hint="eastAsia"/>
                <w:lang w:val="en-US" w:eastAsia="zh-CN"/>
              </w:rPr>
              <w:t>试剂</w:t>
            </w:r>
            <w:r>
              <w:t>包装物、废试剂</w:t>
            </w:r>
          </w:p>
          <w:p w14:paraId="13452A7E">
            <w:pPr>
              <w:pStyle w:val="36"/>
              <w:ind w:firstLine="480"/>
              <w:rPr>
                <w:rFonts w:hint="default"/>
              </w:rPr>
            </w:pPr>
            <w:r>
              <w:rPr>
                <w:rFonts w:hint="default"/>
              </w:rPr>
              <w:t>本项目</w:t>
            </w:r>
            <w:r>
              <w:t>设置水质分析</w:t>
            </w:r>
            <w:r>
              <w:rPr>
                <w:rFonts w:hint="default"/>
              </w:rPr>
              <w:t>过程将产生少量</w:t>
            </w:r>
            <w:r>
              <w:t>实验室试剂废包装物以及废试剂，根</w:t>
            </w:r>
            <w:r>
              <w:rPr>
                <w:rFonts w:hint="default"/>
              </w:rPr>
              <w:t>据建设单位提供的资料</w:t>
            </w:r>
            <w:r>
              <w:rPr>
                <w:rFonts w:hint="eastAsia"/>
                <w:lang w:eastAsia="zh-CN"/>
              </w:rPr>
              <w:t>废试剂包装物</w:t>
            </w:r>
            <w:r>
              <w:t>、废试剂</w:t>
            </w:r>
            <w:r>
              <w:rPr>
                <w:rFonts w:hint="default"/>
              </w:rPr>
              <w:t>产生量</w:t>
            </w:r>
            <w:r>
              <w:t>约为0.0</w:t>
            </w:r>
            <w:r>
              <w:rPr>
                <w:rFonts w:hint="eastAsia"/>
                <w:lang w:val="en-US" w:eastAsia="zh-CN"/>
              </w:rPr>
              <w:t>05</w:t>
            </w:r>
            <w:r>
              <w:rPr>
                <w:rFonts w:hint="default"/>
              </w:rPr>
              <w:t>t/a，</w:t>
            </w:r>
            <w:r>
              <w:t>根据</w:t>
            </w:r>
            <w:r>
              <w:rPr>
                <w:rFonts w:hint="default"/>
              </w:rPr>
              <w:t>《国家危险废物名录（2021）》，项目</w:t>
            </w:r>
            <w:r>
              <w:rPr>
                <w:rFonts w:hint="eastAsia"/>
                <w:lang w:eastAsia="zh-CN"/>
              </w:rPr>
              <w:t>废试剂包装物</w:t>
            </w:r>
            <w:r>
              <w:t>、废试剂属于危险废物（危废编号为</w:t>
            </w:r>
            <w:r>
              <w:rPr>
                <w:rFonts w:hint="default"/>
              </w:rPr>
              <w:t>HW49其他废物</w:t>
            </w:r>
            <w:r>
              <w:t>，固废代码</w:t>
            </w:r>
            <w:r>
              <w:rPr>
                <w:rFonts w:hint="default"/>
              </w:rPr>
              <w:t>900-047-49</w:t>
            </w:r>
            <w:r>
              <w:t>）</w:t>
            </w:r>
            <w:r>
              <w:rPr>
                <w:rFonts w:hint="default"/>
              </w:rPr>
              <w:t>，收集后暂存于危废暂存间，定期委托有危废处置资质的单位处置。</w:t>
            </w:r>
          </w:p>
          <w:p w14:paraId="1AF4DA4F">
            <w:pPr>
              <w:pStyle w:val="36"/>
              <w:ind w:firstLine="480"/>
              <w:rPr>
                <w:rFonts w:hint="default"/>
              </w:rPr>
            </w:pPr>
            <w:bookmarkStart w:id="53" w:name="_Toc6344"/>
            <w:r>
              <w:t>（5）废包装材料</w:t>
            </w:r>
            <w:bookmarkEnd w:id="53"/>
          </w:p>
          <w:p w14:paraId="3C6D685C">
            <w:pPr>
              <w:pStyle w:val="36"/>
              <w:ind w:firstLine="480"/>
              <w:rPr>
                <w:rFonts w:hint="default"/>
              </w:rPr>
            </w:pPr>
            <w:r>
              <w:t>项目用到的原辅材料会产生少量的废包装材料，产生量约为</w:t>
            </w:r>
            <w:r>
              <w:rPr>
                <w:rFonts w:hint="eastAsia"/>
                <w:lang w:val="en-US" w:eastAsia="zh-CN"/>
              </w:rPr>
              <w:t>0.02</w:t>
            </w:r>
            <w:r>
              <w:t>t/a，合属于一般工业固体废物（类别代码为99其他废物），暂存于一般固废暂存间，定期交由资源回收单位处置。</w:t>
            </w:r>
          </w:p>
          <w:p w14:paraId="1FDE9021">
            <w:pPr>
              <w:pStyle w:val="36"/>
              <w:ind w:firstLine="480"/>
              <w:rPr>
                <w:rFonts w:hint="default"/>
              </w:rPr>
            </w:pPr>
            <w:bookmarkStart w:id="54" w:name="_Toc14517"/>
            <w:r>
              <w:t>（6）废润滑油、废润滑油桶</w:t>
            </w:r>
            <w:bookmarkEnd w:id="54"/>
          </w:p>
          <w:p w14:paraId="77CC5094">
            <w:pPr>
              <w:pStyle w:val="36"/>
              <w:ind w:firstLine="480"/>
              <w:rPr>
                <w:rFonts w:hint="default"/>
              </w:rPr>
            </w:pPr>
            <w:r>
              <w:t>在设备维修以及保养过程中会产生废润滑油以及废包装桶和废含油抹布和手套，废润滑油产生量约0.0</w:t>
            </w:r>
            <w:r>
              <w:rPr>
                <w:rFonts w:hint="eastAsia"/>
                <w:lang w:val="en-US" w:eastAsia="zh-CN"/>
              </w:rPr>
              <w:t>05</w:t>
            </w:r>
            <w:r>
              <w:t>t/a、废润滑油桶产生量约0.00</w:t>
            </w:r>
            <w:r>
              <w:rPr>
                <w:rFonts w:hint="eastAsia"/>
                <w:lang w:val="en-US" w:eastAsia="zh-CN"/>
              </w:rPr>
              <w:t>1</w:t>
            </w:r>
            <w:r>
              <w:t>t/a、废含油抹布和手套产生量约为0.001t/a。根据《国家危险废物名录（2021年版）》，废润滑油、废润滑油桶、废含油抹布和手套属于危险废物，废润滑油废物类别为HW08废矿物油与含矿物油废物，废物代码为900-214-08；废润滑油桶废物类别为HW08废矿物油与含矿物油废物，废物代码为900-249-08；废含油抹布和手套废物类别为HW49非特定行业，废物代码为900-041-49。本项目产生的废润滑油、废润滑油桶、废含油抹布和手套收集后暂存至危废暂存间，定期委托资质单位进行处理。</w:t>
            </w:r>
          </w:p>
          <w:p w14:paraId="5E61E925">
            <w:pPr>
              <w:pStyle w:val="36"/>
              <w:ind w:firstLine="480"/>
              <w:rPr>
                <w:rFonts w:hint="default"/>
              </w:rPr>
            </w:pPr>
            <w:r>
              <w:t>（7）</w:t>
            </w:r>
            <w:bookmarkStart w:id="55" w:name="_Toc17058"/>
            <w:r>
              <w:t>生活垃圾</w:t>
            </w:r>
            <w:bookmarkEnd w:id="55"/>
          </w:p>
          <w:p w14:paraId="4EEC5C00">
            <w:pPr>
              <w:pStyle w:val="36"/>
              <w:ind w:firstLine="480"/>
              <w:rPr>
                <w:rFonts w:hint="default"/>
              </w:rPr>
            </w:pPr>
            <w:r>
              <w:t>生活垃圾产生量按0.5kg/人•d计，根据项目劳动定员情况核算，项目生活垃圾产生情况如下，生活垃圾收集后交由环卫部门清运处理。</w:t>
            </w:r>
          </w:p>
          <w:p w14:paraId="1350808A">
            <w:pPr>
              <w:pStyle w:val="52"/>
            </w:pPr>
            <w:r>
              <w:rPr>
                <w:rFonts w:hint="eastAsia"/>
              </w:rPr>
              <w:t>生活垃圾产生情况一览表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82"/>
              <w:gridCol w:w="1828"/>
              <w:gridCol w:w="1853"/>
              <w:gridCol w:w="2049"/>
            </w:tblGrid>
            <w:tr w14:paraId="732EA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5" w:type="pct"/>
                  <w:tcBorders>
                    <w:tl2br w:val="nil"/>
                    <w:tr2bl w:val="nil"/>
                  </w:tcBorders>
                  <w:vAlign w:val="center"/>
                </w:tcPr>
                <w:p w14:paraId="31B80105">
                  <w:pPr>
                    <w:pStyle w:val="38"/>
                    <w:rPr>
                      <w:b/>
                      <w:bCs/>
                    </w:rPr>
                  </w:pPr>
                  <w:r>
                    <w:rPr>
                      <w:rFonts w:hint="eastAsia"/>
                      <w:b/>
                      <w:bCs/>
                    </w:rPr>
                    <w:t>工程名称</w:t>
                  </w:r>
                </w:p>
              </w:tc>
              <w:tc>
                <w:tcPr>
                  <w:tcW w:w="1025" w:type="pct"/>
                  <w:tcBorders>
                    <w:tl2br w:val="nil"/>
                    <w:tr2bl w:val="nil"/>
                  </w:tcBorders>
                  <w:vAlign w:val="center"/>
                </w:tcPr>
                <w:p w14:paraId="767686D2">
                  <w:pPr>
                    <w:pStyle w:val="38"/>
                    <w:rPr>
                      <w:b/>
                      <w:bCs/>
                    </w:rPr>
                  </w:pPr>
                  <w:r>
                    <w:rPr>
                      <w:rFonts w:hint="eastAsia"/>
                      <w:b/>
                      <w:bCs/>
                    </w:rPr>
                    <w:t>劳动定员（人）</w:t>
                  </w:r>
                </w:p>
              </w:tc>
              <w:tc>
                <w:tcPr>
                  <w:tcW w:w="1039" w:type="pct"/>
                  <w:tcBorders>
                    <w:tl2br w:val="nil"/>
                    <w:tr2bl w:val="nil"/>
                  </w:tcBorders>
                  <w:vAlign w:val="center"/>
                </w:tcPr>
                <w:p w14:paraId="52F8FD1A">
                  <w:pPr>
                    <w:pStyle w:val="38"/>
                    <w:rPr>
                      <w:b/>
                      <w:bCs/>
                    </w:rPr>
                  </w:pPr>
                  <w:r>
                    <w:rPr>
                      <w:rFonts w:hint="eastAsia"/>
                      <w:b/>
                      <w:bCs/>
                    </w:rPr>
                    <w:t>年产生量（t/a）</w:t>
                  </w:r>
                </w:p>
              </w:tc>
              <w:tc>
                <w:tcPr>
                  <w:tcW w:w="1149" w:type="pct"/>
                  <w:tcBorders>
                    <w:tl2br w:val="nil"/>
                    <w:tr2bl w:val="nil"/>
                  </w:tcBorders>
                  <w:vAlign w:val="center"/>
                </w:tcPr>
                <w:p w14:paraId="3585F26C">
                  <w:pPr>
                    <w:pStyle w:val="38"/>
                    <w:rPr>
                      <w:b/>
                      <w:bCs/>
                    </w:rPr>
                  </w:pPr>
                  <w:r>
                    <w:rPr>
                      <w:rFonts w:hint="eastAsia"/>
                      <w:b/>
                      <w:bCs/>
                    </w:rPr>
                    <w:t>处置去向</w:t>
                  </w:r>
                </w:p>
              </w:tc>
            </w:tr>
            <w:tr w14:paraId="75E6C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5" w:type="pct"/>
                  <w:tcBorders>
                    <w:tl2br w:val="nil"/>
                    <w:tr2bl w:val="nil"/>
                  </w:tcBorders>
                  <w:vAlign w:val="center"/>
                </w:tcPr>
                <w:p w14:paraId="67E6A1E4">
                  <w:pPr>
                    <w:pStyle w:val="38"/>
                    <w:rPr>
                      <w:rFonts w:hint="eastAsia" w:eastAsia="宋体"/>
                      <w:lang w:eastAsia="zh-CN"/>
                    </w:rPr>
                  </w:pPr>
                  <w:r>
                    <w:rPr>
                      <w:rFonts w:hint="eastAsia"/>
                      <w:lang w:eastAsia="zh-CN"/>
                    </w:rPr>
                    <w:t>宁都县青塘镇污水处理厂工程</w:t>
                  </w:r>
                </w:p>
              </w:tc>
              <w:tc>
                <w:tcPr>
                  <w:tcW w:w="1025" w:type="pct"/>
                  <w:tcBorders>
                    <w:tl2br w:val="nil"/>
                    <w:tr2bl w:val="nil"/>
                  </w:tcBorders>
                  <w:vAlign w:val="center"/>
                </w:tcPr>
                <w:p w14:paraId="6E12854E">
                  <w:pPr>
                    <w:pStyle w:val="38"/>
                    <w:rPr>
                      <w:rFonts w:hint="eastAsia" w:eastAsia="宋体"/>
                      <w:lang w:eastAsia="zh-CN"/>
                    </w:rPr>
                  </w:pPr>
                  <w:r>
                    <w:rPr>
                      <w:rFonts w:hint="eastAsia"/>
                      <w:lang w:val="en-US" w:eastAsia="zh-CN"/>
                    </w:rPr>
                    <w:t>2</w:t>
                  </w:r>
                </w:p>
              </w:tc>
              <w:tc>
                <w:tcPr>
                  <w:tcW w:w="1039" w:type="pct"/>
                  <w:tcBorders>
                    <w:tl2br w:val="nil"/>
                    <w:tr2bl w:val="nil"/>
                  </w:tcBorders>
                  <w:vAlign w:val="center"/>
                </w:tcPr>
                <w:p w14:paraId="2E2DC993">
                  <w:pPr>
                    <w:pStyle w:val="38"/>
                    <w:rPr>
                      <w:rFonts w:hint="default" w:eastAsia="宋体"/>
                      <w:lang w:val="en-US" w:eastAsia="zh-CN"/>
                    </w:rPr>
                  </w:pPr>
                  <w:r>
                    <w:rPr>
                      <w:rFonts w:hint="eastAsia"/>
                      <w:lang w:val="en-US" w:eastAsia="zh-CN"/>
                    </w:rPr>
                    <w:t>0.365</w:t>
                  </w:r>
                </w:p>
              </w:tc>
              <w:tc>
                <w:tcPr>
                  <w:tcW w:w="1149" w:type="pct"/>
                  <w:tcBorders>
                    <w:tl2br w:val="nil"/>
                    <w:tr2bl w:val="nil"/>
                  </w:tcBorders>
                  <w:vAlign w:val="center"/>
                </w:tcPr>
                <w:p w14:paraId="7D3F1BD0">
                  <w:pPr>
                    <w:pStyle w:val="38"/>
                  </w:pPr>
                  <w:r>
                    <w:t>环卫部门清运处理</w:t>
                  </w:r>
                </w:p>
              </w:tc>
            </w:tr>
          </w:tbl>
          <w:p w14:paraId="529A6951">
            <w:pPr>
              <w:pStyle w:val="36"/>
              <w:spacing w:before="120" w:beforeLines="50"/>
              <w:ind w:firstLine="480"/>
              <w:rPr>
                <w:rFonts w:hint="default"/>
              </w:rPr>
            </w:pPr>
            <w:r>
              <w:t>综上所述，本项目固体废物产生及处置情况详见</w:t>
            </w:r>
            <w:r>
              <w:fldChar w:fldCharType="begin"/>
            </w:r>
            <w:r>
              <w:instrText xml:space="preserve"> REF _Ref250 \n \h </w:instrText>
            </w:r>
            <w:r>
              <w:fldChar w:fldCharType="separate"/>
            </w:r>
            <w:r>
              <w:t>表4-16</w:t>
            </w:r>
            <w:r>
              <w:fldChar w:fldCharType="end"/>
            </w:r>
            <w:r>
              <w:t>，危险废物产生及处置情况详见</w:t>
            </w:r>
            <w:r>
              <w:fldChar w:fldCharType="begin"/>
            </w:r>
            <w:r>
              <w:instrText xml:space="preserve"> REF _Ref13732 \n \h </w:instrText>
            </w:r>
            <w:r>
              <w:fldChar w:fldCharType="separate"/>
            </w:r>
            <w:r>
              <w:t>表4-17</w:t>
            </w:r>
            <w:r>
              <w:fldChar w:fldCharType="end"/>
            </w:r>
            <w:r>
              <w:t>。</w:t>
            </w:r>
          </w:p>
          <w:p w14:paraId="04CA39AF">
            <w:pPr>
              <w:pStyle w:val="52"/>
              <w:rPr>
                <w:lang w:val="zh-TW" w:eastAsia="zh-TW"/>
              </w:rPr>
            </w:pPr>
            <w:bookmarkStart w:id="56" w:name="_Ref250"/>
            <w:r>
              <w:rPr>
                <w:rFonts w:hint="eastAsia"/>
              </w:rPr>
              <w:t>项目固体废物产生及处置情况</w:t>
            </w:r>
            <w:bookmarkEnd w:id="56"/>
            <w:r>
              <w:rPr>
                <w:rFonts w:hint="eastAsia"/>
              </w:rPr>
              <w:t>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37"/>
              <w:gridCol w:w="2558"/>
              <w:gridCol w:w="1154"/>
              <w:gridCol w:w="1090"/>
              <w:gridCol w:w="3277"/>
            </w:tblGrid>
            <w:tr w14:paraId="495FB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 w:type="pct"/>
                  <w:tcBorders>
                    <w:tl2br w:val="nil"/>
                    <w:tr2bl w:val="nil"/>
                  </w:tcBorders>
                  <w:vAlign w:val="center"/>
                </w:tcPr>
                <w:p w14:paraId="05946C24">
                  <w:pPr>
                    <w:jc w:val="center"/>
                    <w:rPr>
                      <w:rFonts w:hint="default" w:eastAsia="宋体"/>
                      <w:b/>
                      <w:bCs/>
                      <w:snapToGrid w:val="0"/>
                      <w:kern w:val="0"/>
                      <w:szCs w:val="21"/>
                      <w:lang w:val="en-US" w:eastAsia="zh-CN"/>
                    </w:rPr>
                  </w:pPr>
                  <w:r>
                    <w:rPr>
                      <w:rFonts w:hint="eastAsia"/>
                      <w:b/>
                      <w:bCs/>
                      <w:snapToGrid w:val="0"/>
                      <w:kern w:val="0"/>
                      <w:szCs w:val="21"/>
                      <w:lang w:val="en-US" w:eastAsia="zh-CN"/>
                    </w:rPr>
                    <w:t>项目名称</w:t>
                  </w:r>
                </w:p>
              </w:tc>
              <w:tc>
                <w:tcPr>
                  <w:tcW w:w="1434" w:type="pct"/>
                  <w:tcBorders>
                    <w:tl2br w:val="nil"/>
                    <w:tr2bl w:val="nil"/>
                  </w:tcBorders>
                  <w:vAlign w:val="center"/>
                </w:tcPr>
                <w:p w14:paraId="47DCE1F2">
                  <w:pPr>
                    <w:jc w:val="center"/>
                    <w:rPr>
                      <w:b/>
                      <w:bCs/>
                      <w:snapToGrid w:val="0"/>
                      <w:kern w:val="0"/>
                      <w:szCs w:val="21"/>
                    </w:rPr>
                  </w:pPr>
                  <w:r>
                    <w:rPr>
                      <w:rFonts w:hint="eastAsia"/>
                      <w:b/>
                      <w:bCs/>
                      <w:snapToGrid w:val="0"/>
                      <w:kern w:val="0"/>
                      <w:szCs w:val="21"/>
                    </w:rPr>
                    <w:t>固体废物名称</w:t>
                  </w:r>
                </w:p>
              </w:tc>
              <w:tc>
                <w:tcPr>
                  <w:tcW w:w="647" w:type="pct"/>
                  <w:tcBorders>
                    <w:tl2br w:val="nil"/>
                    <w:tr2bl w:val="nil"/>
                  </w:tcBorders>
                  <w:vAlign w:val="center"/>
                </w:tcPr>
                <w:p w14:paraId="4F68EDDE">
                  <w:pPr>
                    <w:jc w:val="center"/>
                    <w:rPr>
                      <w:b/>
                      <w:bCs/>
                      <w:snapToGrid w:val="0"/>
                      <w:kern w:val="0"/>
                      <w:szCs w:val="21"/>
                    </w:rPr>
                  </w:pPr>
                  <w:r>
                    <w:rPr>
                      <w:rFonts w:hint="eastAsia"/>
                      <w:b/>
                      <w:bCs/>
                      <w:snapToGrid w:val="0"/>
                      <w:kern w:val="0"/>
                      <w:szCs w:val="21"/>
                    </w:rPr>
                    <w:t>产生量（t/a）</w:t>
                  </w:r>
                </w:p>
              </w:tc>
              <w:tc>
                <w:tcPr>
                  <w:tcW w:w="611" w:type="pct"/>
                  <w:tcBorders>
                    <w:tl2br w:val="nil"/>
                    <w:tr2bl w:val="nil"/>
                  </w:tcBorders>
                  <w:vAlign w:val="center"/>
                </w:tcPr>
                <w:p w14:paraId="022B3369">
                  <w:pPr>
                    <w:jc w:val="center"/>
                    <w:rPr>
                      <w:b/>
                      <w:bCs/>
                      <w:snapToGrid w:val="0"/>
                      <w:kern w:val="0"/>
                      <w:szCs w:val="21"/>
                    </w:rPr>
                  </w:pPr>
                  <w:r>
                    <w:rPr>
                      <w:rFonts w:hint="eastAsia"/>
                      <w:b/>
                      <w:bCs/>
                      <w:snapToGrid w:val="0"/>
                      <w:kern w:val="0"/>
                      <w:szCs w:val="21"/>
                    </w:rPr>
                    <w:t>类别</w:t>
                  </w:r>
                </w:p>
              </w:tc>
              <w:tc>
                <w:tcPr>
                  <w:tcW w:w="1837" w:type="pct"/>
                  <w:tcBorders>
                    <w:tl2br w:val="nil"/>
                    <w:tr2bl w:val="nil"/>
                  </w:tcBorders>
                  <w:vAlign w:val="center"/>
                </w:tcPr>
                <w:p w14:paraId="32CC5D10">
                  <w:pPr>
                    <w:jc w:val="center"/>
                    <w:rPr>
                      <w:b/>
                      <w:bCs/>
                      <w:snapToGrid w:val="0"/>
                      <w:kern w:val="0"/>
                      <w:szCs w:val="21"/>
                    </w:rPr>
                  </w:pPr>
                  <w:r>
                    <w:rPr>
                      <w:b/>
                      <w:bCs/>
                      <w:szCs w:val="21"/>
                    </w:rPr>
                    <w:t>处置措施</w:t>
                  </w:r>
                </w:p>
              </w:tc>
            </w:tr>
            <w:tr w14:paraId="5DC7C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 w:type="pct"/>
                  <w:vMerge w:val="restart"/>
                  <w:tcBorders>
                    <w:tl2br w:val="nil"/>
                    <w:tr2bl w:val="nil"/>
                  </w:tcBorders>
                  <w:vAlign w:val="center"/>
                </w:tcPr>
                <w:p w14:paraId="3DBD9872">
                  <w:pPr>
                    <w:pStyle w:val="38"/>
                    <w:rPr>
                      <w:rFonts w:hint="eastAsia" w:eastAsia="宋体"/>
                      <w:lang w:eastAsia="zh-CN"/>
                    </w:rPr>
                  </w:pPr>
                  <w:bookmarkStart w:id="57" w:name="_Ref296"/>
                  <w:r>
                    <w:rPr>
                      <w:rFonts w:hint="eastAsia"/>
                      <w:lang w:eastAsia="zh-CN"/>
                    </w:rPr>
                    <w:t>宁都县青塘镇污水处理厂工程</w:t>
                  </w:r>
                </w:p>
              </w:tc>
              <w:tc>
                <w:tcPr>
                  <w:tcW w:w="1434" w:type="pct"/>
                  <w:tcBorders>
                    <w:tl2br w:val="nil"/>
                    <w:tr2bl w:val="nil"/>
                  </w:tcBorders>
                  <w:vAlign w:val="center"/>
                </w:tcPr>
                <w:p w14:paraId="5C632F8B">
                  <w:pPr>
                    <w:jc w:val="center"/>
                    <w:rPr>
                      <w:snapToGrid w:val="0"/>
                      <w:kern w:val="0"/>
                      <w:szCs w:val="21"/>
                    </w:rPr>
                  </w:pPr>
                  <w:r>
                    <w:rPr>
                      <w:rFonts w:hint="eastAsia"/>
                      <w:snapToGrid w:val="0"/>
                      <w:kern w:val="0"/>
                      <w:szCs w:val="21"/>
                    </w:rPr>
                    <w:t>栅渣</w:t>
                  </w:r>
                </w:p>
              </w:tc>
              <w:tc>
                <w:tcPr>
                  <w:tcW w:w="647" w:type="pct"/>
                  <w:tcBorders>
                    <w:tl2br w:val="nil"/>
                    <w:tr2bl w:val="nil"/>
                  </w:tcBorders>
                  <w:vAlign w:val="center"/>
                </w:tcPr>
                <w:p w14:paraId="7D086198">
                  <w:pPr>
                    <w:jc w:val="center"/>
                    <w:rPr>
                      <w:rFonts w:hint="default" w:eastAsia="宋体"/>
                      <w:snapToGrid w:val="0"/>
                      <w:kern w:val="0"/>
                      <w:szCs w:val="21"/>
                      <w:lang w:val="en-US" w:eastAsia="zh-CN"/>
                    </w:rPr>
                  </w:pPr>
                  <w:r>
                    <w:rPr>
                      <w:rFonts w:hint="eastAsia"/>
                      <w:snapToGrid w:val="0"/>
                      <w:kern w:val="0"/>
                      <w:szCs w:val="21"/>
                      <w:lang w:val="en-US" w:eastAsia="zh-CN"/>
                    </w:rPr>
                    <w:t>5.256</w:t>
                  </w:r>
                </w:p>
              </w:tc>
              <w:tc>
                <w:tcPr>
                  <w:tcW w:w="611" w:type="pct"/>
                  <w:vMerge w:val="restart"/>
                  <w:tcBorders>
                    <w:tl2br w:val="nil"/>
                    <w:tr2bl w:val="nil"/>
                  </w:tcBorders>
                  <w:vAlign w:val="center"/>
                </w:tcPr>
                <w:p w14:paraId="2794DCA0">
                  <w:pPr>
                    <w:jc w:val="center"/>
                    <w:rPr>
                      <w:snapToGrid w:val="0"/>
                      <w:kern w:val="0"/>
                      <w:szCs w:val="21"/>
                    </w:rPr>
                  </w:pPr>
                  <w:r>
                    <w:rPr>
                      <w:rFonts w:hint="eastAsia"/>
                      <w:snapToGrid w:val="0"/>
                      <w:kern w:val="0"/>
                      <w:szCs w:val="21"/>
                    </w:rPr>
                    <w:t>一般工业固体废物</w:t>
                  </w:r>
                </w:p>
              </w:tc>
              <w:tc>
                <w:tcPr>
                  <w:tcW w:w="1837" w:type="pct"/>
                  <w:vMerge w:val="restart"/>
                  <w:tcBorders>
                    <w:tl2br w:val="nil"/>
                    <w:tr2bl w:val="nil"/>
                  </w:tcBorders>
                  <w:vAlign w:val="center"/>
                </w:tcPr>
                <w:p w14:paraId="718B060D">
                  <w:pPr>
                    <w:jc w:val="center"/>
                    <w:rPr>
                      <w:snapToGrid w:val="0"/>
                      <w:kern w:val="0"/>
                      <w:szCs w:val="21"/>
                    </w:rPr>
                  </w:pPr>
                  <w:r>
                    <w:rPr>
                      <w:rFonts w:hint="eastAsia"/>
                      <w:snapToGrid w:val="0"/>
                      <w:kern w:val="0"/>
                      <w:szCs w:val="21"/>
                    </w:rPr>
                    <w:t>交由环卫部门处理</w:t>
                  </w:r>
                </w:p>
              </w:tc>
            </w:tr>
            <w:tr w14:paraId="61DD5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 w:type="pct"/>
                  <w:vMerge w:val="continue"/>
                  <w:tcBorders>
                    <w:tl2br w:val="nil"/>
                    <w:tr2bl w:val="nil"/>
                  </w:tcBorders>
                  <w:vAlign w:val="center"/>
                </w:tcPr>
                <w:p w14:paraId="7C50FFAD">
                  <w:pPr>
                    <w:pStyle w:val="38"/>
                  </w:pPr>
                </w:p>
              </w:tc>
              <w:tc>
                <w:tcPr>
                  <w:tcW w:w="1434" w:type="pct"/>
                  <w:tcBorders>
                    <w:tl2br w:val="nil"/>
                    <w:tr2bl w:val="nil"/>
                  </w:tcBorders>
                  <w:vAlign w:val="center"/>
                </w:tcPr>
                <w:p w14:paraId="6361355E">
                  <w:pPr>
                    <w:jc w:val="center"/>
                    <w:rPr>
                      <w:snapToGrid w:val="0"/>
                      <w:kern w:val="0"/>
                      <w:szCs w:val="21"/>
                    </w:rPr>
                  </w:pPr>
                  <w:r>
                    <w:rPr>
                      <w:rFonts w:hint="eastAsia"/>
                      <w:snapToGrid w:val="0"/>
                      <w:kern w:val="0"/>
                      <w:szCs w:val="21"/>
                    </w:rPr>
                    <w:t>沉砂</w:t>
                  </w:r>
                </w:p>
              </w:tc>
              <w:tc>
                <w:tcPr>
                  <w:tcW w:w="647" w:type="pct"/>
                  <w:tcBorders>
                    <w:tl2br w:val="nil"/>
                    <w:tr2bl w:val="nil"/>
                  </w:tcBorders>
                  <w:vAlign w:val="center"/>
                </w:tcPr>
                <w:p w14:paraId="7D84FDC4">
                  <w:pPr>
                    <w:jc w:val="center"/>
                    <w:rPr>
                      <w:rFonts w:hint="default" w:eastAsia="宋体"/>
                      <w:snapToGrid w:val="0"/>
                      <w:kern w:val="0"/>
                      <w:szCs w:val="21"/>
                      <w:lang w:val="en-US" w:eastAsia="zh-CN"/>
                    </w:rPr>
                  </w:pPr>
                  <w:r>
                    <w:rPr>
                      <w:rFonts w:hint="eastAsia"/>
                      <w:snapToGrid w:val="0"/>
                      <w:kern w:val="0"/>
                      <w:szCs w:val="21"/>
                      <w:lang w:val="en-US" w:eastAsia="zh-CN"/>
                    </w:rPr>
                    <w:t>8.213</w:t>
                  </w:r>
                </w:p>
              </w:tc>
              <w:tc>
                <w:tcPr>
                  <w:tcW w:w="611" w:type="pct"/>
                  <w:vMerge w:val="continue"/>
                  <w:tcBorders>
                    <w:tl2br w:val="nil"/>
                    <w:tr2bl w:val="nil"/>
                  </w:tcBorders>
                  <w:vAlign w:val="center"/>
                </w:tcPr>
                <w:p w14:paraId="6E60523D">
                  <w:pPr>
                    <w:jc w:val="center"/>
                    <w:rPr>
                      <w:snapToGrid w:val="0"/>
                      <w:kern w:val="0"/>
                      <w:szCs w:val="21"/>
                    </w:rPr>
                  </w:pPr>
                </w:p>
              </w:tc>
              <w:tc>
                <w:tcPr>
                  <w:tcW w:w="1837" w:type="pct"/>
                  <w:vMerge w:val="continue"/>
                  <w:tcBorders>
                    <w:tl2br w:val="nil"/>
                    <w:tr2bl w:val="nil"/>
                  </w:tcBorders>
                  <w:vAlign w:val="center"/>
                </w:tcPr>
                <w:p w14:paraId="26F39257">
                  <w:pPr>
                    <w:jc w:val="center"/>
                    <w:rPr>
                      <w:snapToGrid w:val="0"/>
                      <w:kern w:val="0"/>
                      <w:szCs w:val="21"/>
                    </w:rPr>
                  </w:pPr>
                </w:p>
              </w:tc>
            </w:tr>
            <w:tr w14:paraId="3A3E4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 w:type="pct"/>
                  <w:vMerge w:val="continue"/>
                  <w:tcBorders>
                    <w:tl2br w:val="nil"/>
                    <w:tr2bl w:val="nil"/>
                  </w:tcBorders>
                  <w:vAlign w:val="center"/>
                </w:tcPr>
                <w:p w14:paraId="228D4B14">
                  <w:pPr>
                    <w:pStyle w:val="38"/>
                  </w:pPr>
                </w:p>
              </w:tc>
              <w:tc>
                <w:tcPr>
                  <w:tcW w:w="1434" w:type="pct"/>
                  <w:tcBorders>
                    <w:tl2br w:val="nil"/>
                    <w:tr2bl w:val="nil"/>
                  </w:tcBorders>
                  <w:vAlign w:val="center"/>
                </w:tcPr>
                <w:p w14:paraId="1D165A30">
                  <w:pPr>
                    <w:jc w:val="center"/>
                    <w:rPr>
                      <w:snapToGrid w:val="0"/>
                      <w:kern w:val="0"/>
                      <w:szCs w:val="21"/>
                    </w:rPr>
                  </w:pPr>
                  <w:r>
                    <w:rPr>
                      <w:rFonts w:hint="eastAsia"/>
                      <w:snapToGrid w:val="0"/>
                      <w:kern w:val="0"/>
                      <w:szCs w:val="21"/>
                    </w:rPr>
                    <w:t>废包装材料</w:t>
                  </w:r>
                </w:p>
              </w:tc>
              <w:tc>
                <w:tcPr>
                  <w:tcW w:w="647" w:type="pct"/>
                  <w:tcBorders>
                    <w:tl2br w:val="nil"/>
                    <w:tr2bl w:val="nil"/>
                  </w:tcBorders>
                  <w:vAlign w:val="center"/>
                </w:tcPr>
                <w:p w14:paraId="60741A30">
                  <w:pPr>
                    <w:jc w:val="center"/>
                    <w:rPr>
                      <w:rFonts w:hint="default" w:eastAsia="宋体"/>
                      <w:snapToGrid w:val="0"/>
                      <w:kern w:val="0"/>
                      <w:szCs w:val="21"/>
                      <w:lang w:val="en-US" w:eastAsia="zh-CN"/>
                    </w:rPr>
                  </w:pPr>
                  <w:r>
                    <w:rPr>
                      <w:rFonts w:hint="eastAsia"/>
                      <w:snapToGrid w:val="0"/>
                      <w:kern w:val="0"/>
                      <w:szCs w:val="21"/>
                      <w:lang w:val="en-US" w:eastAsia="zh-CN"/>
                    </w:rPr>
                    <w:t>0.02</w:t>
                  </w:r>
                </w:p>
              </w:tc>
              <w:tc>
                <w:tcPr>
                  <w:tcW w:w="611" w:type="pct"/>
                  <w:vMerge w:val="continue"/>
                  <w:tcBorders>
                    <w:tl2br w:val="nil"/>
                    <w:tr2bl w:val="nil"/>
                  </w:tcBorders>
                  <w:vAlign w:val="center"/>
                </w:tcPr>
                <w:p w14:paraId="3504CC75">
                  <w:pPr>
                    <w:jc w:val="center"/>
                    <w:rPr>
                      <w:snapToGrid w:val="0"/>
                      <w:kern w:val="0"/>
                      <w:szCs w:val="21"/>
                    </w:rPr>
                  </w:pPr>
                </w:p>
              </w:tc>
              <w:tc>
                <w:tcPr>
                  <w:tcW w:w="1837" w:type="pct"/>
                  <w:tcBorders>
                    <w:tl2br w:val="nil"/>
                    <w:tr2bl w:val="nil"/>
                  </w:tcBorders>
                  <w:vAlign w:val="center"/>
                </w:tcPr>
                <w:p w14:paraId="24A5EAC8">
                  <w:pPr>
                    <w:jc w:val="center"/>
                    <w:rPr>
                      <w:snapToGrid w:val="0"/>
                      <w:kern w:val="0"/>
                      <w:szCs w:val="21"/>
                    </w:rPr>
                  </w:pPr>
                  <w:r>
                    <w:rPr>
                      <w:rFonts w:hint="eastAsia"/>
                      <w:snapToGrid w:val="0"/>
                      <w:kern w:val="0"/>
                      <w:szCs w:val="21"/>
                    </w:rPr>
                    <w:t>暂存于一般固废暂存间，定期交由资源回收单位处置</w:t>
                  </w:r>
                </w:p>
              </w:tc>
            </w:tr>
            <w:tr w14:paraId="2AEFD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 w:type="pct"/>
                  <w:vMerge w:val="continue"/>
                  <w:tcBorders>
                    <w:tl2br w:val="nil"/>
                    <w:tr2bl w:val="nil"/>
                  </w:tcBorders>
                  <w:vAlign w:val="center"/>
                </w:tcPr>
                <w:p w14:paraId="04F15B3B">
                  <w:pPr>
                    <w:pStyle w:val="38"/>
                  </w:pPr>
                </w:p>
              </w:tc>
              <w:tc>
                <w:tcPr>
                  <w:tcW w:w="1434" w:type="pct"/>
                  <w:tcBorders>
                    <w:tl2br w:val="nil"/>
                    <w:tr2bl w:val="nil"/>
                  </w:tcBorders>
                  <w:vAlign w:val="center"/>
                </w:tcPr>
                <w:p w14:paraId="486CAFAC">
                  <w:pPr>
                    <w:jc w:val="center"/>
                    <w:rPr>
                      <w:snapToGrid w:val="0"/>
                      <w:kern w:val="0"/>
                      <w:szCs w:val="21"/>
                    </w:rPr>
                  </w:pPr>
                  <w:r>
                    <w:rPr>
                      <w:snapToGrid w:val="0"/>
                      <w:kern w:val="0"/>
                      <w:szCs w:val="21"/>
                    </w:rPr>
                    <w:t>实验室废液、在线监测废液、</w:t>
                  </w:r>
                  <w:r>
                    <w:rPr>
                      <w:rFonts w:hint="eastAsia"/>
                      <w:snapToGrid w:val="0"/>
                      <w:kern w:val="0"/>
                      <w:szCs w:val="21"/>
                      <w:lang w:eastAsia="zh-CN"/>
                    </w:rPr>
                    <w:t>废试剂包装物</w:t>
                  </w:r>
                  <w:r>
                    <w:rPr>
                      <w:snapToGrid w:val="0"/>
                      <w:kern w:val="0"/>
                      <w:szCs w:val="21"/>
                    </w:rPr>
                    <w:t>、废试剂</w:t>
                  </w:r>
                </w:p>
              </w:tc>
              <w:tc>
                <w:tcPr>
                  <w:tcW w:w="647" w:type="pct"/>
                  <w:tcBorders>
                    <w:tl2br w:val="nil"/>
                    <w:tr2bl w:val="nil"/>
                  </w:tcBorders>
                  <w:vAlign w:val="center"/>
                </w:tcPr>
                <w:p w14:paraId="6389CE7D">
                  <w:pPr>
                    <w:jc w:val="center"/>
                    <w:rPr>
                      <w:rFonts w:hint="default" w:eastAsia="宋体"/>
                      <w:snapToGrid w:val="0"/>
                      <w:kern w:val="0"/>
                      <w:szCs w:val="21"/>
                      <w:lang w:val="en-US" w:eastAsia="zh-CN"/>
                    </w:rPr>
                  </w:pPr>
                  <w:r>
                    <w:rPr>
                      <w:rFonts w:hint="eastAsia"/>
                      <w:snapToGrid w:val="0"/>
                      <w:kern w:val="0"/>
                      <w:szCs w:val="21"/>
                      <w:lang w:val="en-US" w:eastAsia="zh-CN"/>
                    </w:rPr>
                    <w:t>0.155</w:t>
                  </w:r>
                </w:p>
              </w:tc>
              <w:tc>
                <w:tcPr>
                  <w:tcW w:w="611" w:type="pct"/>
                  <w:vMerge w:val="restart"/>
                  <w:tcBorders>
                    <w:tl2br w:val="nil"/>
                    <w:tr2bl w:val="nil"/>
                  </w:tcBorders>
                  <w:vAlign w:val="center"/>
                </w:tcPr>
                <w:p w14:paraId="6BA479BB">
                  <w:pPr>
                    <w:jc w:val="center"/>
                    <w:rPr>
                      <w:snapToGrid w:val="0"/>
                      <w:kern w:val="0"/>
                      <w:szCs w:val="21"/>
                    </w:rPr>
                  </w:pPr>
                  <w:r>
                    <w:rPr>
                      <w:rFonts w:hint="eastAsia"/>
                      <w:snapToGrid w:val="0"/>
                      <w:kern w:val="0"/>
                      <w:szCs w:val="21"/>
                    </w:rPr>
                    <w:t>危险废物</w:t>
                  </w:r>
                </w:p>
              </w:tc>
              <w:tc>
                <w:tcPr>
                  <w:tcW w:w="1837" w:type="pct"/>
                  <w:vMerge w:val="restart"/>
                  <w:tcBorders>
                    <w:tl2br w:val="nil"/>
                    <w:tr2bl w:val="nil"/>
                  </w:tcBorders>
                  <w:vAlign w:val="center"/>
                </w:tcPr>
                <w:p w14:paraId="0EB75F30">
                  <w:pPr>
                    <w:jc w:val="center"/>
                    <w:rPr>
                      <w:snapToGrid w:val="0"/>
                      <w:kern w:val="0"/>
                      <w:szCs w:val="21"/>
                    </w:rPr>
                  </w:pPr>
                  <w:r>
                    <w:rPr>
                      <w:rFonts w:hint="eastAsia"/>
                      <w:snapToGrid w:val="0"/>
                      <w:kern w:val="0"/>
                      <w:szCs w:val="21"/>
                    </w:rPr>
                    <w:t>交由危废处置单位处置</w:t>
                  </w:r>
                </w:p>
              </w:tc>
            </w:tr>
            <w:tr w14:paraId="53AF2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 w:type="pct"/>
                  <w:vMerge w:val="continue"/>
                  <w:tcBorders>
                    <w:tl2br w:val="nil"/>
                    <w:tr2bl w:val="nil"/>
                  </w:tcBorders>
                  <w:vAlign w:val="center"/>
                </w:tcPr>
                <w:p w14:paraId="5C24CFA8">
                  <w:pPr>
                    <w:pStyle w:val="38"/>
                  </w:pPr>
                </w:p>
              </w:tc>
              <w:tc>
                <w:tcPr>
                  <w:tcW w:w="1434" w:type="pct"/>
                  <w:tcBorders>
                    <w:tl2br w:val="nil"/>
                    <w:tr2bl w:val="nil"/>
                  </w:tcBorders>
                  <w:vAlign w:val="center"/>
                </w:tcPr>
                <w:p w14:paraId="2C9411DF">
                  <w:pPr>
                    <w:jc w:val="center"/>
                    <w:rPr>
                      <w:snapToGrid w:val="0"/>
                      <w:kern w:val="0"/>
                      <w:szCs w:val="21"/>
                    </w:rPr>
                  </w:pPr>
                  <w:r>
                    <w:rPr>
                      <w:rFonts w:hint="eastAsia"/>
                      <w:snapToGrid w:val="0"/>
                      <w:kern w:val="0"/>
                      <w:szCs w:val="21"/>
                    </w:rPr>
                    <w:t>废润滑油</w:t>
                  </w:r>
                </w:p>
              </w:tc>
              <w:tc>
                <w:tcPr>
                  <w:tcW w:w="647" w:type="pct"/>
                  <w:tcBorders>
                    <w:tl2br w:val="nil"/>
                    <w:tr2bl w:val="nil"/>
                  </w:tcBorders>
                  <w:vAlign w:val="center"/>
                </w:tcPr>
                <w:p w14:paraId="397042C5">
                  <w:pPr>
                    <w:jc w:val="center"/>
                    <w:rPr>
                      <w:rFonts w:hint="default" w:eastAsia="宋体"/>
                      <w:snapToGrid w:val="0"/>
                      <w:kern w:val="0"/>
                      <w:szCs w:val="21"/>
                      <w:lang w:val="en-US" w:eastAsia="zh-CN"/>
                    </w:rPr>
                  </w:pPr>
                  <w:r>
                    <w:rPr>
                      <w:rFonts w:hint="eastAsia"/>
                      <w:snapToGrid w:val="0"/>
                      <w:kern w:val="0"/>
                      <w:szCs w:val="21"/>
                      <w:lang w:val="en-US" w:eastAsia="zh-CN"/>
                    </w:rPr>
                    <w:t>0.005</w:t>
                  </w:r>
                </w:p>
              </w:tc>
              <w:tc>
                <w:tcPr>
                  <w:tcW w:w="611" w:type="pct"/>
                  <w:vMerge w:val="continue"/>
                  <w:tcBorders>
                    <w:tl2br w:val="nil"/>
                    <w:tr2bl w:val="nil"/>
                  </w:tcBorders>
                  <w:vAlign w:val="center"/>
                </w:tcPr>
                <w:p w14:paraId="1B36528C">
                  <w:pPr>
                    <w:jc w:val="center"/>
                    <w:rPr>
                      <w:snapToGrid w:val="0"/>
                      <w:kern w:val="0"/>
                      <w:szCs w:val="21"/>
                    </w:rPr>
                  </w:pPr>
                </w:p>
              </w:tc>
              <w:tc>
                <w:tcPr>
                  <w:tcW w:w="1837" w:type="pct"/>
                  <w:vMerge w:val="continue"/>
                  <w:tcBorders>
                    <w:tl2br w:val="nil"/>
                    <w:tr2bl w:val="nil"/>
                  </w:tcBorders>
                  <w:vAlign w:val="center"/>
                </w:tcPr>
                <w:p w14:paraId="22255323">
                  <w:pPr>
                    <w:jc w:val="center"/>
                    <w:rPr>
                      <w:snapToGrid w:val="0"/>
                      <w:kern w:val="0"/>
                      <w:szCs w:val="21"/>
                    </w:rPr>
                  </w:pPr>
                </w:p>
              </w:tc>
            </w:tr>
            <w:tr w14:paraId="009B3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 w:type="pct"/>
                  <w:vMerge w:val="continue"/>
                  <w:tcBorders>
                    <w:tl2br w:val="nil"/>
                    <w:tr2bl w:val="nil"/>
                  </w:tcBorders>
                  <w:vAlign w:val="center"/>
                </w:tcPr>
                <w:p w14:paraId="6FD65BC8">
                  <w:pPr>
                    <w:pStyle w:val="38"/>
                  </w:pPr>
                </w:p>
              </w:tc>
              <w:tc>
                <w:tcPr>
                  <w:tcW w:w="1434" w:type="pct"/>
                  <w:tcBorders>
                    <w:tl2br w:val="nil"/>
                    <w:tr2bl w:val="nil"/>
                  </w:tcBorders>
                  <w:vAlign w:val="center"/>
                </w:tcPr>
                <w:p w14:paraId="0276C02F">
                  <w:pPr>
                    <w:jc w:val="center"/>
                    <w:rPr>
                      <w:snapToGrid w:val="0"/>
                      <w:kern w:val="0"/>
                      <w:szCs w:val="21"/>
                    </w:rPr>
                  </w:pPr>
                  <w:r>
                    <w:rPr>
                      <w:rFonts w:hint="eastAsia"/>
                      <w:snapToGrid w:val="0"/>
                      <w:kern w:val="0"/>
                      <w:szCs w:val="21"/>
                    </w:rPr>
                    <w:t>废润滑油桶</w:t>
                  </w:r>
                </w:p>
              </w:tc>
              <w:tc>
                <w:tcPr>
                  <w:tcW w:w="647" w:type="pct"/>
                  <w:tcBorders>
                    <w:tl2br w:val="nil"/>
                    <w:tr2bl w:val="nil"/>
                  </w:tcBorders>
                  <w:vAlign w:val="center"/>
                </w:tcPr>
                <w:p w14:paraId="52A05B0C">
                  <w:pPr>
                    <w:jc w:val="center"/>
                    <w:rPr>
                      <w:rFonts w:hint="default" w:eastAsia="宋体"/>
                      <w:snapToGrid w:val="0"/>
                      <w:kern w:val="0"/>
                      <w:szCs w:val="21"/>
                      <w:lang w:val="en-US" w:eastAsia="zh-CN"/>
                    </w:rPr>
                  </w:pPr>
                  <w:r>
                    <w:rPr>
                      <w:rFonts w:hint="eastAsia"/>
                      <w:snapToGrid w:val="0"/>
                      <w:kern w:val="0"/>
                      <w:szCs w:val="21"/>
                      <w:lang w:val="en-US" w:eastAsia="zh-CN"/>
                    </w:rPr>
                    <w:t>0.001</w:t>
                  </w:r>
                </w:p>
              </w:tc>
              <w:tc>
                <w:tcPr>
                  <w:tcW w:w="611" w:type="pct"/>
                  <w:vMerge w:val="continue"/>
                  <w:tcBorders>
                    <w:tl2br w:val="nil"/>
                    <w:tr2bl w:val="nil"/>
                  </w:tcBorders>
                  <w:vAlign w:val="center"/>
                </w:tcPr>
                <w:p w14:paraId="28ECE4E6">
                  <w:pPr>
                    <w:jc w:val="center"/>
                    <w:rPr>
                      <w:snapToGrid w:val="0"/>
                      <w:kern w:val="0"/>
                      <w:szCs w:val="21"/>
                    </w:rPr>
                  </w:pPr>
                </w:p>
              </w:tc>
              <w:tc>
                <w:tcPr>
                  <w:tcW w:w="1837" w:type="pct"/>
                  <w:vMerge w:val="continue"/>
                  <w:tcBorders>
                    <w:tl2br w:val="nil"/>
                    <w:tr2bl w:val="nil"/>
                  </w:tcBorders>
                  <w:vAlign w:val="center"/>
                </w:tcPr>
                <w:p w14:paraId="2CE7DB1B">
                  <w:pPr>
                    <w:jc w:val="center"/>
                    <w:rPr>
                      <w:snapToGrid w:val="0"/>
                      <w:kern w:val="0"/>
                      <w:szCs w:val="21"/>
                    </w:rPr>
                  </w:pPr>
                </w:p>
              </w:tc>
            </w:tr>
            <w:tr w14:paraId="7E54B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 w:type="pct"/>
                  <w:vMerge w:val="continue"/>
                  <w:tcBorders>
                    <w:tl2br w:val="nil"/>
                    <w:tr2bl w:val="nil"/>
                  </w:tcBorders>
                  <w:vAlign w:val="center"/>
                </w:tcPr>
                <w:p w14:paraId="784FEA6E">
                  <w:pPr>
                    <w:pStyle w:val="38"/>
                  </w:pPr>
                </w:p>
              </w:tc>
              <w:tc>
                <w:tcPr>
                  <w:tcW w:w="1434" w:type="pct"/>
                  <w:tcBorders>
                    <w:tl2br w:val="nil"/>
                    <w:tr2bl w:val="nil"/>
                  </w:tcBorders>
                  <w:vAlign w:val="center"/>
                </w:tcPr>
                <w:p w14:paraId="7528F1EA">
                  <w:pPr>
                    <w:jc w:val="center"/>
                    <w:rPr>
                      <w:snapToGrid w:val="0"/>
                      <w:kern w:val="0"/>
                      <w:szCs w:val="21"/>
                    </w:rPr>
                  </w:pPr>
                  <w:r>
                    <w:rPr>
                      <w:rFonts w:hint="eastAsia"/>
                      <w:snapToGrid w:val="0"/>
                      <w:kern w:val="0"/>
                      <w:szCs w:val="21"/>
                    </w:rPr>
                    <w:t>废含油抹布和手套</w:t>
                  </w:r>
                </w:p>
              </w:tc>
              <w:tc>
                <w:tcPr>
                  <w:tcW w:w="647" w:type="pct"/>
                  <w:tcBorders>
                    <w:tl2br w:val="nil"/>
                    <w:tr2bl w:val="nil"/>
                  </w:tcBorders>
                  <w:vAlign w:val="center"/>
                </w:tcPr>
                <w:p w14:paraId="34F5F746">
                  <w:pPr>
                    <w:jc w:val="center"/>
                    <w:rPr>
                      <w:rFonts w:hint="default" w:eastAsia="宋体"/>
                      <w:snapToGrid w:val="0"/>
                      <w:kern w:val="0"/>
                      <w:szCs w:val="21"/>
                      <w:lang w:val="en-US" w:eastAsia="zh-CN"/>
                    </w:rPr>
                  </w:pPr>
                  <w:r>
                    <w:rPr>
                      <w:rFonts w:hint="eastAsia"/>
                      <w:snapToGrid w:val="0"/>
                      <w:kern w:val="0"/>
                      <w:szCs w:val="21"/>
                      <w:lang w:val="en-US" w:eastAsia="zh-CN"/>
                    </w:rPr>
                    <w:t>0.001</w:t>
                  </w:r>
                </w:p>
              </w:tc>
              <w:tc>
                <w:tcPr>
                  <w:tcW w:w="611" w:type="pct"/>
                  <w:vMerge w:val="continue"/>
                  <w:tcBorders>
                    <w:tl2br w:val="nil"/>
                    <w:tr2bl w:val="nil"/>
                  </w:tcBorders>
                  <w:vAlign w:val="center"/>
                </w:tcPr>
                <w:p w14:paraId="4B4EC67C">
                  <w:pPr>
                    <w:jc w:val="center"/>
                    <w:rPr>
                      <w:snapToGrid w:val="0"/>
                      <w:kern w:val="0"/>
                      <w:szCs w:val="21"/>
                    </w:rPr>
                  </w:pPr>
                </w:p>
              </w:tc>
              <w:tc>
                <w:tcPr>
                  <w:tcW w:w="1837" w:type="pct"/>
                  <w:vMerge w:val="continue"/>
                  <w:tcBorders>
                    <w:tl2br w:val="nil"/>
                    <w:tr2bl w:val="nil"/>
                  </w:tcBorders>
                  <w:vAlign w:val="center"/>
                </w:tcPr>
                <w:p w14:paraId="25690572">
                  <w:pPr>
                    <w:jc w:val="center"/>
                    <w:rPr>
                      <w:snapToGrid w:val="0"/>
                      <w:kern w:val="0"/>
                      <w:szCs w:val="21"/>
                    </w:rPr>
                  </w:pPr>
                </w:p>
              </w:tc>
            </w:tr>
            <w:tr w14:paraId="22AC9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 w:type="pct"/>
                  <w:vMerge w:val="continue"/>
                  <w:tcBorders>
                    <w:tl2br w:val="nil"/>
                    <w:tr2bl w:val="nil"/>
                  </w:tcBorders>
                  <w:vAlign w:val="center"/>
                </w:tcPr>
                <w:p w14:paraId="77FCC031">
                  <w:pPr>
                    <w:pStyle w:val="38"/>
                  </w:pPr>
                </w:p>
              </w:tc>
              <w:tc>
                <w:tcPr>
                  <w:tcW w:w="1434" w:type="pct"/>
                  <w:tcBorders>
                    <w:tl2br w:val="nil"/>
                    <w:tr2bl w:val="nil"/>
                  </w:tcBorders>
                  <w:vAlign w:val="center"/>
                </w:tcPr>
                <w:p w14:paraId="153B6EA8">
                  <w:pPr>
                    <w:jc w:val="center"/>
                    <w:rPr>
                      <w:snapToGrid w:val="0"/>
                      <w:kern w:val="0"/>
                      <w:szCs w:val="21"/>
                    </w:rPr>
                  </w:pPr>
                  <w:r>
                    <w:rPr>
                      <w:rFonts w:hint="eastAsia"/>
                      <w:snapToGrid w:val="0"/>
                      <w:kern w:val="0"/>
                      <w:szCs w:val="21"/>
                    </w:rPr>
                    <w:t>污泥</w:t>
                  </w:r>
                </w:p>
              </w:tc>
              <w:tc>
                <w:tcPr>
                  <w:tcW w:w="647" w:type="pct"/>
                  <w:tcBorders>
                    <w:tl2br w:val="nil"/>
                    <w:tr2bl w:val="nil"/>
                  </w:tcBorders>
                  <w:vAlign w:val="center"/>
                </w:tcPr>
                <w:p w14:paraId="2A2BD4B8">
                  <w:pPr>
                    <w:jc w:val="center"/>
                    <w:rPr>
                      <w:rFonts w:hint="default" w:eastAsia="宋体"/>
                      <w:snapToGrid w:val="0"/>
                      <w:kern w:val="0"/>
                      <w:szCs w:val="21"/>
                      <w:lang w:val="en-US" w:eastAsia="zh-CN"/>
                    </w:rPr>
                  </w:pPr>
                  <w:r>
                    <w:rPr>
                      <w:rFonts w:hint="eastAsia"/>
                      <w:snapToGrid w:val="0"/>
                      <w:kern w:val="0"/>
                      <w:szCs w:val="21"/>
                      <w:lang w:val="en-US" w:eastAsia="zh-CN"/>
                    </w:rPr>
                    <w:t>136.875</w:t>
                  </w:r>
                </w:p>
              </w:tc>
              <w:tc>
                <w:tcPr>
                  <w:tcW w:w="611" w:type="pct"/>
                  <w:tcBorders>
                    <w:tl2br w:val="nil"/>
                    <w:tr2bl w:val="nil"/>
                  </w:tcBorders>
                  <w:vAlign w:val="center"/>
                </w:tcPr>
                <w:p w14:paraId="42BF6410">
                  <w:pPr>
                    <w:jc w:val="center"/>
                    <w:rPr>
                      <w:snapToGrid w:val="0"/>
                      <w:kern w:val="0"/>
                      <w:szCs w:val="21"/>
                    </w:rPr>
                  </w:pPr>
                  <w:r>
                    <w:rPr>
                      <w:rFonts w:hint="eastAsia"/>
                      <w:snapToGrid w:val="0"/>
                      <w:kern w:val="0"/>
                      <w:szCs w:val="21"/>
                    </w:rPr>
                    <w:t>一般工业固体废物</w:t>
                  </w:r>
                </w:p>
              </w:tc>
              <w:tc>
                <w:tcPr>
                  <w:tcW w:w="1837" w:type="pct"/>
                  <w:tcBorders>
                    <w:tl2br w:val="nil"/>
                    <w:tr2bl w:val="nil"/>
                  </w:tcBorders>
                  <w:vAlign w:val="center"/>
                </w:tcPr>
                <w:p w14:paraId="34158CF9">
                  <w:pPr>
                    <w:jc w:val="center"/>
                    <w:rPr>
                      <w:rFonts w:hint="default" w:eastAsia="宋体"/>
                      <w:snapToGrid w:val="0"/>
                      <w:kern w:val="0"/>
                      <w:szCs w:val="21"/>
                      <w:lang w:val="en-US" w:eastAsia="zh-CN"/>
                    </w:rPr>
                  </w:pPr>
                  <w:r>
                    <w:rPr>
                      <w:rFonts w:hint="eastAsia"/>
                      <w:snapToGrid w:val="0"/>
                      <w:kern w:val="0"/>
                      <w:szCs w:val="21"/>
                      <w:lang w:val="en-US" w:eastAsia="zh-CN"/>
                    </w:rPr>
                    <w:t>压滤脱水处置后外运处置</w:t>
                  </w:r>
                </w:p>
              </w:tc>
            </w:tr>
            <w:tr w14:paraId="75F7C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 w:type="pct"/>
                  <w:vMerge w:val="continue"/>
                  <w:tcBorders>
                    <w:tl2br w:val="nil"/>
                    <w:tr2bl w:val="nil"/>
                  </w:tcBorders>
                  <w:vAlign w:val="center"/>
                </w:tcPr>
                <w:p w14:paraId="74281B0E">
                  <w:pPr>
                    <w:pStyle w:val="38"/>
                  </w:pPr>
                </w:p>
              </w:tc>
              <w:tc>
                <w:tcPr>
                  <w:tcW w:w="1434" w:type="pct"/>
                  <w:tcBorders>
                    <w:tl2br w:val="nil"/>
                    <w:tr2bl w:val="nil"/>
                  </w:tcBorders>
                  <w:vAlign w:val="center"/>
                </w:tcPr>
                <w:p w14:paraId="13F9475F">
                  <w:pPr>
                    <w:jc w:val="center"/>
                    <w:rPr>
                      <w:snapToGrid w:val="0"/>
                      <w:kern w:val="0"/>
                      <w:szCs w:val="21"/>
                    </w:rPr>
                  </w:pPr>
                  <w:r>
                    <w:rPr>
                      <w:rFonts w:hint="eastAsia"/>
                      <w:snapToGrid w:val="0"/>
                      <w:kern w:val="0"/>
                      <w:szCs w:val="21"/>
                    </w:rPr>
                    <w:t>生活垃圾</w:t>
                  </w:r>
                </w:p>
              </w:tc>
              <w:tc>
                <w:tcPr>
                  <w:tcW w:w="647" w:type="pct"/>
                  <w:tcBorders>
                    <w:tl2br w:val="nil"/>
                    <w:tr2bl w:val="nil"/>
                  </w:tcBorders>
                  <w:vAlign w:val="center"/>
                </w:tcPr>
                <w:p w14:paraId="53EF17C5">
                  <w:pPr>
                    <w:jc w:val="center"/>
                    <w:rPr>
                      <w:rFonts w:hint="default" w:eastAsia="宋体"/>
                      <w:snapToGrid w:val="0"/>
                      <w:kern w:val="0"/>
                      <w:szCs w:val="21"/>
                      <w:lang w:val="en-US" w:eastAsia="zh-CN"/>
                    </w:rPr>
                  </w:pPr>
                  <w:r>
                    <w:rPr>
                      <w:rFonts w:hint="eastAsia"/>
                      <w:snapToGrid w:val="0"/>
                      <w:kern w:val="0"/>
                      <w:szCs w:val="21"/>
                      <w:lang w:val="en-US" w:eastAsia="zh-CN"/>
                    </w:rPr>
                    <w:t>0.365</w:t>
                  </w:r>
                </w:p>
              </w:tc>
              <w:tc>
                <w:tcPr>
                  <w:tcW w:w="611" w:type="pct"/>
                  <w:tcBorders>
                    <w:tl2br w:val="nil"/>
                    <w:tr2bl w:val="nil"/>
                  </w:tcBorders>
                  <w:vAlign w:val="center"/>
                </w:tcPr>
                <w:p w14:paraId="66A9E9D3">
                  <w:pPr>
                    <w:jc w:val="center"/>
                    <w:rPr>
                      <w:snapToGrid w:val="0"/>
                      <w:kern w:val="0"/>
                      <w:szCs w:val="21"/>
                    </w:rPr>
                  </w:pPr>
                  <w:r>
                    <w:rPr>
                      <w:rFonts w:hint="eastAsia"/>
                      <w:snapToGrid w:val="0"/>
                      <w:kern w:val="0"/>
                      <w:szCs w:val="21"/>
                    </w:rPr>
                    <w:t>生活垃圾</w:t>
                  </w:r>
                </w:p>
              </w:tc>
              <w:tc>
                <w:tcPr>
                  <w:tcW w:w="1837" w:type="pct"/>
                  <w:tcBorders>
                    <w:tl2br w:val="nil"/>
                    <w:tr2bl w:val="nil"/>
                  </w:tcBorders>
                  <w:vAlign w:val="center"/>
                </w:tcPr>
                <w:p w14:paraId="116D7968">
                  <w:pPr>
                    <w:jc w:val="center"/>
                    <w:rPr>
                      <w:snapToGrid w:val="0"/>
                      <w:kern w:val="0"/>
                      <w:szCs w:val="21"/>
                    </w:rPr>
                  </w:pPr>
                  <w:r>
                    <w:rPr>
                      <w:rFonts w:hint="eastAsia"/>
                      <w:snapToGrid w:val="0"/>
                      <w:kern w:val="0"/>
                      <w:szCs w:val="21"/>
                    </w:rPr>
                    <w:t>交由环卫部门处理</w:t>
                  </w:r>
                </w:p>
              </w:tc>
            </w:tr>
          </w:tbl>
          <w:p w14:paraId="738517F0">
            <w:pPr>
              <w:pStyle w:val="52"/>
              <w:rPr>
                <w:bCs/>
                <w:color w:val="000000"/>
                <w:lang w:val="zh-TW" w:eastAsia="zh-TW"/>
              </w:rPr>
            </w:pPr>
            <w:bookmarkStart w:id="58" w:name="_Ref13732"/>
            <w:r>
              <w:rPr>
                <w:rFonts w:hint="eastAsia"/>
                <w:bCs/>
                <w:color w:val="000000"/>
                <w:lang w:val="zh-TW" w:eastAsia="zh-TW"/>
              </w:rPr>
              <w:t>危险废物</w:t>
            </w:r>
            <w:r>
              <w:rPr>
                <w:bCs/>
                <w:color w:val="000000"/>
                <w:lang w:val="zh-TW" w:eastAsia="zh-TW"/>
              </w:rPr>
              <w:t>产生及处置情况</w:t>
            </w:r>
            <w:bookmarkEnd w:id="57"/>
            <w:r>
              <w:rPr>
                <w:rFonts w:hint="eastAsia"/>
                <w:bCs/>
                <w:color w:val="000000"/>
              </w:rPr>
              <w:t>一览表</w:t>
            </w:r>
            <w:bookmarkEnd w:id="58"/>
          </w:p>
          <w:tbl>
            <w:tblPr>
              <w:tblStyle w:val="28"/>
              <w:tblW w:w="495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46"/>
              <w:gridCol w:w="1201"/>
              <w:gridCol w:w="741"/>
              <w:gridCol w:w="991"/>
              <w:gridCol w:w="747"/>
              <w:gridCol w:w="975"/>
              <w:gridCol w:w="483"/>
              <w:gridCol w:w="748"/>
              <w:gridCol w:w="662"/>
              <w:gridCol w:w="483"/>
              <w:gridCol w:w="755"/>
              <w:gridCol w:w="602"/>
            </w:tblGrid>
            <w:tr w14:paraId="153F4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2" w:type="pct"/>
                  <w:tcBorders>
                    <w:tl2br w:val="nil"/>
                    <w:tr2bl w:val="nil"/>
                  </w:tcBorders>
                  <w:vAlign w:val="center"/>
                </w:tcPr>
                <w:p w14:paraId="2D27B11E">
                  <w:pPr>
                    <w:pStyle w:val="38"/>
                    <w:rPr>
                      <w:b/>
                      <w:bCs/>
                    </w:rPr>
                  </w:pPr>
                  <w:r>
                    <w:rPr>
                      <w:b/>
                      <w:bCs/>
                    </w:rPr>
                    <w:t>序号</w:t>
                  </w:r>
                </w:p>
              </w:tc>
              <w:tc>
                <w:tcPr>
                  <w:tcW w:w="679" w:type="pct"/>
                  <w:tcBorders>
                    <w:tl2br w:val="nil"/>
                    <w:tr2bl w:val="nil"/>
                  </w:tcBorders>
                  <w:vAlign w:val="center"/>
                </w:tcPr>
                <w:p w14:paraId="2112371B">
                  <w:pPr>
                    <w:pStyle w:val="38"/>
                    <w:rPr>
                      <w:b/>
                      <w:bCs/>
                    </w:rPr>
                  </w:pPr>
                  <w:r>
                    <w:rPr>
                      <w:b/>
                      <w:bCs/>
                    </w:rPr>
                    <w:t>名称</w:t>
                  </w:r>
                </w:p>
              </w:tc>
              <w:tc>
                <w:tcPr>
                  <w:tcW w:w="419" w:type="pct"/>
                  <w:tcBorders>
                    <w:tl2br w:val="nil"/>
                    <w:tr2bl w:val="nil"/>
                  </w:tcBorders>
                  <w:vAlign w:val="center"/>
                </w:tcPr>
                <w:p w14:paraId="3B9838A5">
                  <w:pPr>
                    <w:pStyle w:val="38"/>
                    <w:rPr>
                      <w:b/>
                      <w:bCs/>
                    </w:rPr>
                  </w:pPr>
                  <w:r>
                    <w:rPr>
                      <w:b/>
                      <w:bCs/>
                    </w:rPr>
                    <w:t>类别</w:t>
                  </w:r>
                </w:p>
              </w:tc>
              <w:tc>
                <w:tcPr>
                  <w:tcW w:w="560" w:type="pct"/>
                  <w:tcBorders>
                    <w:tl2br w:val="nil"/>
                    <w:tr2bl w:val="nil"/>
                  </w:tcBorders>
                  <w:vAlign w:val="center"/>
                </w:tcPr>
                <w:p w14:paraId="6195168A">
                  <w:pPr>
                    <w:pStyle w:val="38"/>
                    <w:rPr>
                      <w:b/>
                      <w:bCs/>
                    </w:rPr>
                  </w:pPr>
                  <w:r>
                    <w:rPr>
                      <w:b/>
                      <w:bCs/>
                    </w:rPr>
                    <w:t>代码</w:t>
                  </w:r>
                </w:p>
              </w:tc>
              <w:tc>
                <w:tcPr>
                  <w:tcW w:w="422" w:type="pct"/>
                  <w:tcBorders>
                    <w:tl2br w:val="nil"/>
                    <w:tr2bl w:val="nil"/>
                  </w:tcBorders>
                  <w:vAlign w:val="center"/>
                </w:tcPr>
                <w:p w14:paraId="673D88AB">
                  <w:pPr>
                    <w:pStyle w:val="38"/>
                    <w:rPr>
                      <w:b/>
                      <w:bCs/>
                    </w:rPr>
                  </w:pPr>
                  <w:r>
                    <w:rPr>
                      <w:b/>
                      <w:bCs/>
                    </w:rPr>
                    <w:t>产生量</w:t>
                  </w:r>
                  <w:r>
                    <w:rPr>
                      <w:rFonts w:hint="eastAsia"/>
                      <w:b/>
                      <w:bCs/>
                    </w:rPr>
                    <w:t>（t/a）</w:t>
                  </w:r>
                </w:p>
              </w:tc>
              <w:tc>
                <w:tcPr>
                  <w:tcW w:w="551" w:type="pct"/>
                  <w:tcBorders>
                    <w:tl2br w:val="nil"/>
                    <w:tr2bl w:val="nil"/>
                  </w:tcBorders>
                  <w:vAlign w:val="center"/>
                </w:tcPr>
                <w:p w14:paraId="4B47B11F">
                  <w:pPr>
                    <w:pStyle w:val="38"/>
                    <w:rPr>
                      <w:b/>
                      <w:bCs/>
                    </w:rPr>
                  </w:pPr>
                  <w:r>
                    <w:rPr>
                      <w:b/>
                      <w:bCs/>
                    </w:rPr>
                    <w:t>产生工序及装置</w:t>
                  </w:r>
                </w:p>
              </w:tc>
              <w:tc>
                <w:tcPr>
                  <w:tcW w:w="273" w:type="pct"/>
                  <w:tcBorders>
                    <w:tl2br w:val="nil"/>
                    <w:tr2bl w:val="nil"/>
                  </w:tcBorders>
                  <w:vAlign w:val="center"/>
                </w:tcPr>
                <w:p w14:paraId="7FB406C7">
                  <w:pPr>
                    <w:pStyle w:val="38"/>
                    <w:rPr>
                      <w:b/>
                      <w:bCs/>
                    </w:rPr>
                  </w:pPr>
                  <w:r>
                    <w:rPr>
                      <w:b/>
                      <w:bCs/>
                    </w:rPr>
                    <w:t>形态</w:t>
                  </w:r>
                </w:p>
              </w:tc>
              <w:tc>
                <w:tcPr>
                  <w:tcW w:w="423" w:type="pct"/>
                  <w:tcBorders>
                    <w:tl2br w:val="nil"/>
                    <w:tr2bl w:val="nil"/>
                  </w:tcBorders>
                  <w:vAlign w:val="center"/>
                </w:tcPr>
                <w:p w14:paraId="0E152124">
                  <w:pPr>
                    <w:pStyle w:val="38"/>
                    <w:rPr>
                      <w:b/>
                      <w:bCs/>
                    </w:rPr>
                  </w:pPr>
                  <w:r>
                    <w:rPr>
                      <w:b/>
                      <w:bCs/>
                    </w:rPr>
                    <w:t>主要</w:t>
                  </w:r>
                </w:p>
                <w:p w14:paraId="1BB630BC">
                  <w:pPr>
                    <w:pStyle w:val="38"/>
                    <w:rPr>
                      <w:b/>
                      <w:bCs/>
                    </w:rPr>
                  </w:pPr>
                  <w:r>
                    <w:rPr>
                      <w:b/>
                      <w:bCs/>
                    </w:rPr>
                    <w:t>成分</w:t>
                  </w:r>
                </w:p>
              </w:tc>
              <w:tc>
                <w:tcPr>
                  <w:tcW w:w="374" w:type="pct"/>
                  <w:tcBorders>
                    <w:tl2br w:val="nil"/>
                    <w:tr2bl w:val="nil"/>
                  </w:tcBorders>
                  <w:vAlign w:val="center"/>
                </w:tcPr>
                <w:p w14:paraId="55229A70">
                  <w:pPr>
                    <w:pStyle w:val="38"/>
                    <w:rPr>
                      <w:b/>
                      <w:bCs/>
                    </w:rPr>
                  </w:pPr>
                  <w:r>
                    <w:rPr>
                      <w:b/>
                      <w:bCs/>
                    </w:rPr>
                    <w:t>有害</w:t>
                  </w:r>
                </w:p>
                <w:p w14:paraId="15AA281B">
                  <w:pPr>
                    <w:pStyle w:val="38"/>
                    <w:rPr>
                      <w:b/>
                      <w:bCs/>
                    </w:rPr>
                  </w:pPr>
                  <w:r>
                    <w:rPr>
                      <w:b/>
                      <w:bCs/>
                    </w:rPr>
                    <w:t>成分</w:t>
                  </w:r>
                </w:p>
              </w:tc>
              <w:tc>
                <w:tcPr>
                  <w:tcW w:w="273" w:type="pct"/>
                  <w:tcBorders>
                    <w:tl2br w:val="nil"/>
                    <w:tr2bl w:val="nil"/>
                  </w:tcBorders>
                  <w:vAlign w:val="center"/>
                </w:tcPr>
                <w:p w14:paraId="15823A36">
                  <w:pPr>
                    <w:pStyle w:val="38"/>
                    <w:rPr>
                      <w:b/>
                      <w:bCs/>
                    </w:rPr>
                  </w:pPr>
                  <w:r>
                    <w:rPr>
                      <w:b/>
                      <w:bCs/>
                    </w:rPr>
                    <w:t>产</w:t>
                  </w:r>
                  <w:r>
                    <w:rPr>
                      <w:rFonts w:hint="eastAsia"/>
                      <w:b/>
                      <w:bCs/>
                    </w:rPr>
                    <w:t>废</w:t>
                  </w:r>
                </w:p>
                <w:p w14:paraId="219EE625">
                  <w:pPr>
                    <w:pStyle w:val="38"/>
                    <w:rPr>
                      <w:b/>
                      <w:bCs/>
                    </w:rPr>
                  </w:pPr>
                  <w:r>
                    <w:rPr>
                      <w:b/>
                      <w:bCs/>
                    </w:rPr>
                    <w:t>周期</w:t>
                  </w:r>
                </w:p>
              </w:tc>
              <w:tc>
                <w:tcPr>
                  <w:tcW w:w="427" w:type="pct"/>
                  <w:tcBorders>
                    <w:tl2br w:val="nil"/>
                    <w:tr2bl w:val="nil"/>
                  </w:tcBorders>
                  <w:vAlign w:val="center"/>
                </w:tcPr>
                <w:p w14:paraId="28B551AF">
                  <w:pPr>
                    <w:pStyle w:val="38"/>
                    <w:rPr>
                      <w:b/>
                      <w:bCs/>
                    </w:rPr>
                  </w:pPr>
                  <w:r>
                    <w:rPr>
                      <w:b/>
                      <w:bCs/>
                    </w:rPr>
                    <w:t>危险</w:t>
                  </w:r>
                </w:p>
                <w:p w14:paraId="4D6F5D39">
                  <w:pPr>
                    <w:pStyle w:val="38"/>
                    <w:rPr>
                      <w:b/>
                      <w:bCs/>
                    </w:rPr>
                  </w:pPr>
                  <w:r>
                    <w:rPr>
                      <w:b/>
                      <w:bCs/>
                    </w:rPr>
                    <w:t>特性</w:t>
                  </w:r>
                </w:p>
              </w:tc>
              <w:tc>
                <w:tcPr>
                  <w:tcW w:w="340" w:type="pct"/>
                  <w:tcBorders>
                    <w:tl2br w:val="nil"/>
                    <w:tr2bl w:val="nil"/>
                  </w:tcBorders>
                  <w:vAlign w:val="center"/>
                </w:tcPr>
                <w:p w14:paraId="69FA9148">
                  <w:pPr>
                    <w:pStyle w:val="38"/>
                    <w:rPr>
                      <w:b/>
                      <w:bCs/>
                    </w:rPr>
                  </w:pPr>
                  <w:r>
                    <w:rPr>
                      <w:b/>
                      <w:bCs/>
                    </w:rPr>
                    <w:t>处置措施</w:t>
                  </w:r>
                </w:p>
              </w:tc>
            </w:tr>
            <w:tr w14:paraId="3EDCF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52" w:type="pct"/>
                  <w:tcBorders>
                    <w:tl2br w:val="nil"/>
                    <w:tr2bl w:val="nil"/>
                  </w:tcBorders>
                  <w:vAlign w:val="center"/>
                </w:tcPr>
                <w:p w14:paraId="6D4070E7">
                  <w:pPr>
                    <w:pStyle w:val="38"/>
                    <w:rPr>
                      <w:rFonts w:hint="eastAsia" w:eastAsia="宋体"/>
                      <w:lang w:val="en-US" w:eastAsia="zh-CN"/>
                    </w:rPr>
                  </w:pPr>
                  <w:r>
                    <w:rPr>
                      <w:rFonts w:hint="eastAsia"/>
                      <w:lang w:val="en-US" w:eastAsia="zh-CN"/>
                    </w:rPr>
                    <w:t>1</w:t>
                  </w:r>
                </w:p>
              </w:tc>
              <w:tc>
                <w:tcPr>
                  <w:tcW w:w="679" w:type="pct"/>
                  <w:tcBorders>
                    <w:tl2br w:val="nil"/>
                    <w:tr2bl w:val="nil"/>
                  </w:tcBorders>
                  <w:vAlign w:val="center"/>
                </w:tcPr>
                <w:p w14:paraId="7294524F">
                  <w:pPr>
                    <w:pStyle w:val="38"/>
                  </w:pPr>
                  <w:r>
                    <w:rPr>
                      <w:rFonts w:hint="eastAsia"/>
                    </w:rPr>
                    <w:t>实验室废液、废药剂、在线监测废液、废试剂瓶</w:t>
                  </w:r>
                </w:p>
              </w:tc>
              <w:tc>
                <w:tcPr>
                  <w:tcW w:w="419" w:type="pct"/>
                  <w:tcBorders>
                    <w:tl2br w:val="nil"/>
                    <w:tr2bl w:val="nil"/>
                  </w:tcBorders>
                  <w:vAlign w:val="center"/>
                </w:tcPr>
                <w:p w14:paraId="29FD8392">
                  <w:pPr>
                    <w:pStyle w:val="38"/>
                  </w:pPr>
                  <w:r>
                    <w:rPr>
                      <w:rFonts w:hint="eastAsia"/>
                    </w:rPr>
                    <w:t>HW49</w:t>
                  </w:r>
                </w:p>
              </w:tc>
              <w:tc>
                <w:tcPr>
                  <w:tcW w:w="560" w:type="pct"/>
                  <w:tcBorders>
                    <w:tl2br w:val="nil"/>
                    <w:tr2bl w:val="nil"/>
                  </w:tcBorders>
                  <w:vAlign w:val="center"/>
                </w:tcPr>
                <w:p w14:paraId="63F7B844">
                  <w:pPr>
                    <w:pStyle w:val="38"/>
                  </w:pPr>
                  <w:r>
                    <w:rPr>
                      <w:rFonts w:hint="eastAsia"/>
                    </w:rPr>
                    <w:t>900-047-49</w:t>
                  </w:r>
                </w:p>
              </w:tc>
              <w:tc>
                <w:tcPr>
                  <w:tcW w:w="747" w:type="dxa"/>
                  <w:tcBorders>
                    <w:tl2br w:val="nil"/>
                    <w:tr2bl w:val="nil"/>
                  </w:tcBorders>
                  <w:vAlign w:val="center"/>
                </w:tcPr>
                <w:p w14:paraId="4C338F91">
                  <w:pPr>
                    <w:pStyle w:val="38"/>
                    <w:bidi w:val="0"/>
                  </w:pPr>
                  <w:r>
                    <w:rPr>
                      <w:rFonts w:hint="eastAsia"/>
                      <w:lang w:val="en-US" w:eastAsia="zh-CN"/>
                    </w:rPr>
                    <w:t>0.155</w:t>
                  </w:r>
                </w:p>
              </w:tc>
              <w:tc>
                <w:tcPr>
                  <w:tcW w:w="551" w:type="pct"/>
                  <w:tcBorders>
                    <w:tl2br w:val="nil"/>
                    <w:tr2bl w:val="nil"/>
                  </w:tcBorders>
                  <w:vAlign w:val="center"/>
                </w:tcPr>
                <w:p w14:paraId="52E10D7C">
                  <w:pPr>
                    <w:pStyle w:val="38"/>
                  </w:pPr>
                  <w:r>
                    <w:rPr>
                      <w:rFonts w:hint="eastAsia"/>
                    </w:rPr>
                    <w:t>实验室化验</w:t>
                  </w:r>
                </w:p>
              </w:tc>
              <w:tc>
                <w:tcPr>
                  <w:tcW w:w="273" w:type="pct"/>
                  <w:tcBorders>
                    <w:tl2br w:val="nil"/>
                    <w:tr2bl w:val="nil"/>
                  </w:tcBorders>
                  <w:vAlign w:val="center"/>
                </w:tcPr>
                <w:p w14:paraId="542789AB">
                  <w:pPr>
                    <w:pStyle w:val="38"/>
                  </w:pPr>
                  <w:r>
                    <w:rPr>
                      <w:rFonts w:hint="eastAsia"/>
                    </w:rPr>
                    <w:t>液态</w:t>
                  </w:r>
                </w:p>
              </w:tc>
              <w:tc>
                <w:tcPr>
                  <w:tcW w:w="423" w:type="pct"/>
                  <w:tcBorders>
                    <w:tl2br w:val="nil"/>
                    <w:tr2bl w:val="nil"/>
                  </w:tcBorders>
                  <w:vAlign w:val="center"/>
                </w:tcPr>
                <w:p w14:paraId="040F4EAD">
                  <w:pPr>
                    <w:pStyle w:val="38"/>
                  </w:pPr>
                  <w:r>
                    <w:rPr>
                      <w:rFonts w:hint="eastAsia"/>
                    </w:rPr>
                    <w:t>酸、碱等</w:t>
                  </w:r>
                </w:p>
              </w:tc>
              <w:tc>
                <w:tcPr>
                  <w:tcW w:w="374" w:type="pct"/>
                  <w:tcBorders>
                    <w:tl2br w:val="nil"/>
                    <w:tr2bl w:val="nil"/>
                  </w:tcBorders>
                  <w:vAlign w:val="center"/>
                </w:tcPr>
                <w:p w14:paraId="0AE092E2">
                  <w:pPr>
                    <w:pStyle w:val="38"/>
                  </w:pPr>
                  <w:r>
                    <w:rPr>
                      <w:rFonts w:hint="eastAsia"/>
                    </w:rPr>
                    <w:t>重金属酸、碱等</w:t>
                  </w:r>
                </w:p>
              </w:tc>
              <w:tc>
                <w:tcPr>
                  <w:tcW w:w="273" w:type="pct"/>
                  <w:tcBorders>
                    <w:tl2br w:val="nil"/>
                    <w:tr2bl w:val="nil"/>
                  </w:tcBorders>
                  <w:vAlign w:val="center"/>
                </w:tcPr>
                <w:p w14:paraId="5E937106">
                  <w:pPr>
                    <w:pStyle w:val="38"/>
                  </w:pPr>
                  <w:r>
                    <w:rPr>
                      <w:rFonts w:hint="eastAsia"/>
                    </w:rPr>
                    <w:t>每日</w:t>
                  </w:r>
                </w:p>
              </w:tc>
              <w:tc>
                <w:tcPr>
                  <w:tcW w:w="427" w:type="pct"/>
                  <w:tcBorders>
                    <w:tl2br w:val="nil"/>
                    <w:tr2bl w:val="nil"/>
                  </w:tcBorders>
                  <w:vAlign w:val="center"/>
                </w:tcPr>
                <w:p w14:paraId="32001057">
                  <w:pPr>
                    <w:pStyle w:val="38"/>
                  </w:pPr>
                  <w:r>
                    <w:t>T</w:t>
                  </w:r>
                  <w:r>
                    <w:rPr>
                      <w:rFonts w:hint="eastAsia"/>
                      <w:lang w:eastAsia="zh-CN"/>
                    </w:rPr>
                    <w:t>，</w:t>
                  </w:r>
                  <w:r>
                    <w:t>I</w:t>
                  </w:r>
                </w:p>
              </w:tc>
              <w:tc>
                <w:tcPr>
                  <w:tcW w:w="340" w:type="pct"/>
                  <w:vMerge w:val="restart"/>
                  <w:tcBorders>
                    <w:tl2br w:val="nil"/>
                    <w:tr2bl w:val="nil"/>
                  </w:tcBorders>
                  <w:vAlign w:val="center"/>
                </w:tcPr>
                <w:p w14:paraId="5BF0DD70">
                  <w:pPr>
                    <w:pStyle w:val="38"/>
                  </w:pPr>
                  <w:r>
                    <w:rPr>
                      <w:rFonts w:hint="eastAsia"/>
                    </w:rPr>
                    <w:t>分区暂存，定期交由有资质的单位处置</w:t>
                  </w:r>
                </w:p>
              </w:tc>
            </w:tr>
            <w:tr w14:paraId="60BF3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52" w:type="pct"/>
                  <w:tcBorders>
                    <w:tl2br w:val="nil"/>
                    <w:tr2bl w:val="nil"/>
                  </w:tcBorders>
                  <w:vAlign w:val="center"/>
                </w:tcPr>
                <w:p w14:paraId="5D240E48">
                  <w:pPr>
                    <w:pStyle w:val="38"/>
                    <w:rPr>
                      <w:rFonts w:hint="eastAsia" w:eastAsia="宋体"/>
                      <w:lang w:val="en-US" w:eastAsia="zh-CN"/>
                    </w:rPr>
                  </w:pPr>
                  <w:r>
                    <w:rPr>
                      <w:rFonts w:hint="eastAsia"/>
                      <w:lang w:val="en-US" w:eastAsia="zh-CN"/>
                    </w:rPr>
                    <w:t>2</w:t>
                  </w:r>
                </w:p>
              </w:tc>
              <w:tc>
                <w:tcPr>
                  <w:tcW w:w="679" w:type="pct"/>
                  <w:tcBorders>
                    <w:tl2br w:val="nil"/>
                    <w:tr2bl w:val="nil"/>
                  </w:tcBorders>
                  <w:vAlign w:val="center"/>
                </w:tcPr>
                <w:p w14:paraId="1BC3780E">
                  <w:pPr>
                    <w:pStyle w:val="38"/>
                  </w:pPr>
                  <w:r>
                    <w:rPr>
                      <w:rFonts w:hint="eastAsia"/>
                    </w:rPr>
                    <w:t>废润滑油</w:t>
                  </w:r>
                </w:p>
              </w:tc>
              <w:tc>
                <w:tcPr>
                  <w:tcW w:w="419" w:type="pct"/>
                  <w:tcBorders>
                    <w:tl2br w:val="nil"/>
                    <w:tr2bl w:val="nil"/>
                  </w:tcBorders>
                  <w:vAlign w:val="center"/>
                </w:tcPr>
                <w:p w14:paraId="272B5527">
                  <w:pPr>
                    <w:pStyle w:val="38"/>
                  </w:pPr>
                  <w:r>
                    <w:rPr>
                      <w:rFonts w:hint="eastAsia"/>
                    </w:rPr>
                    <w:t>HW08</w:t>
                  </w:r>
                </w:p>
              </w:tc>
              <w:tc>
                <w:tcPr>
                  <w:tcW w:w="560" w:type="pct"/>
                  <w:tcBorders>
                    <w:tl2br w:val="nil"/>
                    <w:tr2bl w:val="nil"/>
                  </w:tcBorders>
                  <w:vAlign w:val="center"/>
                </w:tcPr>
                <w:p w14:paraId="3B165F4C">
                  <w:pPr>
                    <w:pStyle w:val="38"/>
                  </w:pPr>
                  <w:r>
                    <w:rPr>
                      <w:rFonts w:hint="eastAsia"/>
                    </w:rPr>
                    <w:t>900-214-08</w:t>
                  </w:r>
                </w:p>
              </w:tc>
              <w:tc>
                <w:tcPr>
                  <w:tcW w:w="747" w:type="dxa"/>
                  <w:tcBorders>
                    <w:tl2br w:val="nil"/>
                    <w:tr2bl w:val="nil"/>
                  </w:tcBorders>
                  <w:vAlign w:val="center"/>
                </w:tcPr>
                <w:p w14:paraId="748E009F">
                  <w:pPr>
                    <w:pStyle w:val="38"/>
                    <w:bidi w:val="0"/>
                  </w:pPr>
                  <w:r>
                    <w:rPr>
                      <w:rFonts w:hint="eastAsia"/>
                      <w:lang w:val="en-US" w:eastAsia="zh-CN"/>
                    </w:rPr>
                    <w:t>0.005</w:t>
                  </w:r>
                </w:p>
              </w:tc>
              <w:tc>
                <w:tcPr>
                  <w:tcW w:w="551" w:type="pct"/>
                  <w:vMerge w:val="restart"/>
                  <w:tcBorders>
                    <w:tl2br w:val="nil"/>
                    <w:tr2bl w:val="nil"/>
                  </w:tcBorders>
                  <w:vAlign w:val="center"/>
                </w:tcPr>
                <w:p w14:paraId="747C859A">
                  <w:pPr>
                    <w:pStyle w:val="38"/>
                  </w:pPr>
                  <w:r>
                    <w:rPr>
                      <w:rFonts w:hint="eastAsia"/>
                    </w:rPr>
                    <w:t>设备</w:t>
                  </w:r>
                  <w:r>
                    <w:rPr>
                      <w:rFonts w:hint="eastAsia"/>
                      <w:lang w:val="en-US" w:eastAsia="zh-CN"/>
                    </w:rPr>
                    <w:t>维护</w:t>
                  </w:r>
                  <w:r>
                    <w:rPr>
                      <w:rFonts w:hint="eastAsia"/>
                    </w:rPr>
                    <w:t>检修</w:t>
                  </w:r>
                </w:p>
              </w:tc>
              <w:tc>
                <w:tcPr>
                  <w:tcW w:w="273" w:type="pct"/>
                  <w:tcBorders>
                    <w:tl2br w:val="nil"/>
                    <w:tr2bl w:val="nil"/>
                  </w:tcBorders>
                  <w:vAlign w:val="center"/>
                </w:tcPr>
                <w:p w14:paraId="3876BB63">
                  <w:pPr>
                    <w:pStyle w:val="38"/>
                  </w:pPr>
                  <w:r>
                    <w:rPr>
                      <w:rFonts w:hint="eastAsia"/>
                    </w:rPr>
                    <w:t>液态</w:t>
                  </w:r>
                </w:p>
              </w:tc>
              <w:tc>
                <w:tcPr>
                  <w:tcW w:w="423" w:type="pct"/>
                  <w:tcBorders>
                    <w:tl2br w:val="nil"/>
                    <w:tr2bl w:val="nil"/>
                  </w:tcBorders>
                  <w:vAlign w:val="center"/>
                </w:tcPr>
                <w:p w14:paraId="2DEECF8F">
                  <w:pPr>
                    <w:pStyle w:val="38"/>
                  </w:pPr>
                  <w:r>
                    <w:rPr>
                      <w:rFonts w:hint="eastAsia"/>
                    </w:rPr>
                    <w:t>矿物油</w:t>
                  </w:r>
                </w:p>
              </w:tc>
              <w:tc>
                <w:tcPr>
                  <w:tcW w:w="374" w:type="pct"/>
                  <w:tcBorders>
                    <w:tl2br w:val="nil"/>
                    <w:tr2bl w:val="nil"/>
                  </w:tcBorders>
                  <w:vAlign w:val="center"/>
                </w:tcPr>
                <w:p w14:paraId="275EF6B5">
                  <w:pPr>
                    <w:pStyle w:val="38"/>
                  </w:pPr>
                  <w:r>
                    <w:rPr>
                      <w:rFonts w:hint="eastAsia"/>
                    </w:rPr>
                    <w:t>矿物油</w:t>
                  </w:r>
                </w:p>
              </w:tc>
              <w:tc>
                <w:tcPr>
                  <w:tcW w:w="273" w:type="pct"/>
                  <w:tcBorders>
                    <w:tl2br w:val="nil"/>
                    <w:tr2bl w:val="nil"/>
                  </w:tcBorders>
                  <w:vAlign w:val="center"/>
                </w:tcPr>
                <w:p w14:paraId="4FA5A860">
                  <w:pPr>
                    <w:pStyle w:val="38"/>
                  </w:pPr>
                  <w:r>
                    <w:rPr>
                      <w:rFonts w:hint="eastAsia"/>
                    </w:rPr>
                    <w:t>1年</w:t>
                  </w:r>
                </w:p>
              </w:tc>
              <w:tc>
                <w:tcPr>
                  <w:tcW w:w="427" w:type="pct"/>
                  <w:tcBorders>
                    <w:tl2br w:val="nil"/>
                    <w:tr2bl w:val="nil"/>
                  </w:tcBorders>
                  <w:vAlign w:val="center"/>
                </w:tcPr>
                <w:p w14:paraId="7D2E3A31">
                  <w:pPr>
                    <w:pStyle w:val="38"/>
                  </w:pPr>
                  <w:r>
                    <w:t>T</w:t>
                  </w:r>
                  <w:r>
                    <w:rPr>
                      <w:rFonts w:hint="eastAsia"/>
                      <w:lang w:eastAsia="zh-CN"/>
                    </w:rPr>
                    <w:t>，</w:t>
                  </w:r>
                  <w:r>
                    <w:t>I</w:t>
                  </w:r>
                </w:p>
              </w:tc>
              <w:tc>
                <w:tcPr>
                  <w:tcW w:w="340" w:type="pct"/>
                  <w:vMerge w:val="continue"/>
                  <w:tcBorders>
                    <w:tl2br w:val="nil"/>
                    <w:tr2bl w:val="nil"/>
                  </w:tcBorders>
                  <w:vAlign w:val="center"/>
                </w:tcPr>
                <w:p w14:paraId="34F197BE">
                  <w:pPr>
                    <w:pStyle w:val="38"/>
                  </w:pPr>
                </w:p>
              </w:tc>
            </w:tr>
            <w:tr w14:paraId="29406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52" w:type="pct"/>
                  <w:tcBorders>
                    <w:tl2br w:val="nil"/>
                    <w:tr2bl w:val="nil"/>
                  </w:tcBorders>
                  <w:vAlign w:val="center"/>
                </w:tcPr>
                <w:p w14:paraId="55032FAE">
                  <w:pPr>
                    <w:pStyle w:val="38"/>
                    <w:rPr>
                      <w:rFonts w:hint="eastAsia" w:eastAsia="宋体"/>
                      <w:lang w:val="en-US" w:eastAsia="zh-CN"/>
                    </w:rPr>
                  </w:pPr>
                  <w:r>
                    <w:rPr>
                      <w:rFonts w:hint="eastAsia"/>
                      <w:lang w:val="en-US" w:eastAsia="zh-CN"/>
                    </w:rPr>
                    <w:t>3</w:t>
                  </w:r>
                </w:p>
              </w:tc>
              <w:tc>
                <w:tcPr>
                  <w:tcW w:w="679" w:type="pct"/>
                  <w:tcBorders>
                    <w:tl2br w:val="nil"/>
                    <w:tr2bl w:val="nil"/>
                  </w:tcBorders>
                  <w:vAlign w:val="center"/>
                </w:tcPr>
                <w:p w14:paraId="4299EE5D">
                  <w:pPr>
                    <w:pStyle w:val="38"/>
                  </w:pPr>
                  <w:r>
                    <w:rPr>
                      <w:rFonts w:hint="eastAsia"/>
                    </w:rPr>
                    <w:t>废润滑油桶</w:t>
                  </w:r>
                </w:p>
              </w:tc>
              <w:tc>
                <w:tcPr>
                  <w:tcW w:w="419" w:type="pct"/>
                  <w:tcBorders>
                    <w:tl2br w:val="nil"/>
                    <w:tr2bl w:val="nil"/>
                  </w:tcBorders>
                  <w:vAlign w:val="center"/>
                </w:tcPr>
                <w:p w14:paraId="00A31C1C">
                  <w:pPr>
                    <w:pStyle w:val="38"/>
                  </w:pPr>
                  <w:r>
                    <w:rPr>
                      <w:rFonts w:hint="eastAsia"/>
                    </w:rPr>
                    <w:t>HW08</w:t>
                  </w:r>
                </w:p>
              </w:tc>
              <w:tc>
                <w:tcPr>
                  <w:tcW w:w="560" w:type="pct"/>
                  <w:tcBorders>
                    <w:tl2br w:val="nil"/>
                    <w:tr2bl w:val="nil"/>
                  </w:tcBorders>
                  <w:vAlign w:val="center"/>
                </w:tcPr>
                <w:p w14:paraId="43F43C40">
                  <w:pPr>
                    <w:pStyle w:val="38"/>
                  </w:pPr>
                  <w:r>
                    <w:rPr>
                      <w:rFonts w:hint="eastAsia"/>
                    </w:rPr>
                    <w:t>900-249-08</w:t>
                  </w:r>
                </w:p>
              </w:tc>
              <w:tc>
                <w:tcPr>
                  <w:tcW w:w="747" w:type="dxa"/>
                  <w:tcBorders>
                    <w:tl2br w:val="nil"/>
                    <w:tr2bl w:val="nil"/>
                  </w:tcBorders>
                  <w:vAlign w:val="center"/>
                </w:tcPr>
                <w:p w14:paraId="4A871B75">
                  <w:pPr>
                    <w:pStyle w:val="38"/>
                    <w:bidi w:val="0"/>
                  </w:pPr>
                  <w:r>
                    <w:rPr>
                      <w:rFonts w:hint="eastAsia"/>
                      <w:lang w:val="en-US" w:eastAsia="zh-CN"/>
                    </w:rPr>
                    <w:t>0.001</w:t>
                  </w:r>
                </w:p>
              </w:tc>
              <w:tc>
                <w:tcPr>
                  <w:tcW w:w="551" w:type="pct"/>
                  <w:vMerge w:val="continue"/>
                  <w:tcBorders>
                    <w:tl2br w:val="nil"/>
                    <w:tr2bl w:val="nil"/>
                  </w:tcBorders>
                  <w:vAlign w:val="center"/>
                </w:tcPr>
                <w:p w14:paraId="5025E1F6">
                  <w:pPr>
                    <w:pStyle w:val="38"/>
                  </w:pPr>
                </w:p>
              </w:tc>
              <w:tc>
                <w:tcPr>
                  <w:tcW w:w="273" w:type="pct"/>
                  <w:tcBorders>
                    <w:tl2br w:val="nil"/>
                    <w:tr2bl w:val="nil"/>
                  </w:tcBorders>
                  <w:vAlign w:val="center"/>
                </w:tcPr>
                <w:p w14:paraId="2B561457">
                  <w:pPr>
                    <w:pStyle w:val="38"/>
                  </w:pPr>
                  <w:r>
                    <w:rPr>
                      <w:rFonts w:hint="eastAsia"/>
                    </w:rPr>
                    <w:t>固态</w:t>
                  </w:r>
                </w:p>
              </w:tc>
              <w:tc>
                <w:tcPr>
                  <w:tcW w:w="423" w:type="pct"/>
                  <w:tcBorders>
                    <w:tl2br w:val="nil"/>
                    <w:tr2bl w:val="nil"/>
                  </w:tcBorders>
                  <w:vAlign w:val="center"/>
                </w:tcPr>
                <w:p w14:paraId="3908F924">
                  <w:pPr>
                    <w:pStyle w:val="38"/>
                  </w:pPr>
                  <w:r>
                    <w:rPr>
                      <w:rFonts w:hint="eastAsia"/>
                    </w:rPr>
                    <w:t>矿物油</w:t>
                  </w:r>
                </w:p>
              </w:tc>
              <w:tc>
                <w:tcPr>
                  <w:tcW w:w="374" w:type="pct"/>
                  <w:tcBorders>
                    <w:tl2br w:val="nil"/>
                    <w:tr2bl w:val="nil"/>
                  </w:tcBorders>
                  <w:vAlign w:val="center"/>
                </w:tcPr>
                <w:p w14:paraId="08240F9F">
                  <w:pPr>
                    <w:pStyle w:val="38"/>
                  </w:pPr>
                  <w:r>
                    <w:rPr>
                      <w:rFonts w:hint="eastAsia"/>
                    </w:rPr>
                    <w:t>矿物油</w:t>
                  </w:r>
                </w:p>
              </w:tc>
              <w:tc>
                <w:tcPr>
                  <w:tcW w:w="273" w:type="pct"/>
                  <w:tcBorders>
                    <w:tl2br w:val="nil"/>
                    <w:tr2bl w:val="nil"/>
                  </w:tcBorders>
                  <w:vAlign w:val="center"/>
                </w:tcPr>
                <w:p w14:paraId="0B5954F5">
                  <w:pPr>
                    <w:pStyle w:val="38"/>
                  </w:pPr>
                  <w:r>
                    <w:rPr>
                      <w:rFonts w:hint="eastAsia"/>
                    </w:rPr>
                    <w:t>1年</w:t>
                  </w:r>
                </w:p>
              </w:tc>
              <w:tc>
                <w:tcPr>
                  <w:tcW w:w="427" w:type="pct"/>
                  <w:tcBorders>
                    <w:tl2br w:val="nil"/>
                    <w:tr2bl w:val="nil"/>
                  </w:tcBorders>
                  <w:vAlign w:val="center"/>
                </w:tcPr>
                <w:p w14:paraId="673CAA41">
                  <w:pPr>
                    <w:pStyle w:val="38"/>
                  </w:pPr>
                  <w:r>
                    <w:t>T</w:t>
                  </w:r>
                  <w:r>
                    <w:rPr>
                      <w:rFonts w:hint="eastAsia"/>
                      <w:lang w:eastAsia="zh-CN"/>
                    </w:rPr>
                    <w:t>，</w:t>
                  </w:r>
                  <w:r>
                    <w:t>I</w:t>
                  </w:r>
                </w:p>
              </w:tc>
              <w:tc>
                <w:tcPr>
                  <w:tcW w:w="340" w:type="pct"/>
                  <w:vMerge w:val="continue"/>
                  <w:tcBorders>
                    <w:tl2br w:val="nil"/>
                    <w:tr2bl w:val="nil"/>
                  </w:tcBorders>
                  <w:vAlign w:val="center"/>
                </w:tcPr>
                <w:p w14:paraId="7EFE0620">
                  <w:pPr>
                    <w:pStyle w:val="38"/>
                  </w:pPr>
                </w:p>
              </w:tc>
            </w:tr>
            <w:tr w14:paraId="426F3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2" w:type="pct"/>
                  <w:tcBorders>
                    <w:tl2br w:val="nil"/>
                    <w:tr2bl w:val="nil"/>
                  </w:tcBorders>
                  <w:vAlign w:val="center"/>
                </w:tcPr>
                <w:p w14:paraId="702B242C">
                  <w:pPr>
                    <w:pStyle w:val="38"/>
                    <w:rPr>
                      <w:rFonts w:hint="eastAsia" w:eastAsia="宋体"/>
                      <w:lang w:val="en-US" w:eastAsia="zh-CN"/>
                    </w:rPr>
                  </w:pPr>
                  <w:r>
                    <w:rPr>
                      <w:rFonts w:hint="eastAsia"/>
                      <w:lang w:val="en-US" w:eastAsia="zh-CN"/>
                    </w:rPr>
                    <w:t>4</w:t>
                  </w:r>
                </w:p>
              </w:tc>
              <w:tc>
                <w:tcPr>
                  <w:tcW w:w="679" w:type="pct"/>
                  <w:tcBorders>
                    <w:tl2br w:val="nil"/>
                    <w:tr2bl w:val="nil"/>
                  </w:tcBorders>
                  <w:vAlign w:val="center"/>
                </w:tcPr>
                <w:p w14:paraId="2909ECF4">
                  <w:pPr>
                    <w:pStyle w:val="38"/>
                  </w:pPr>
                  <w:r>
                    <w:rPr>
                      <w:rFonts w:hint="eastAsia"/>
                    </w:rPr>
                    <w:t>废含油抹布和手套</w:t>
                  </w:r>
                </w:p>
              </w:tc>
              <w:tc>
                <w:tcPr>
                  <w:tcW w:w="419" w:type="pct"/>
                  <w:tcBorders>
                    <w:tl2br w:val="nil"/>
                    <w:tr2bl w:val="nil"/>
                  </w:tcBorders>
                  <w:vAlign w:val="center"/>
                </w:tcPr>
                <w:p w14:paraId="37743737">
                  <w:pPr>
                    <w:pStyle w:val="38"/>
                  </w:pPr>
                  <w:r>
                    <w:rPr>
                      <w:rFonts w:hint="eastAsia"/>
                    </w:rPr>
                    <w:t>HW49</w:t>
                  </w:r>
                </w:p>
              </w:tc>
              <w:tc>
                <w:tcPr>
                  <w:tcW w:w="560" w:type="pct"/>
                  <w:tcBorders>
                    <w:tl2br w:val="nil"/>
                    <w:tr2bl w:val="nil"/>
                  </w:tcBorders>
                  <w:vAlign w:val="center"/>
                </w:tcPr>
                <w:p w14:paraId="02CE2CB0">
                  <w:pPr>
                    <w:pStyle w:val="38"/>
                  </w:pPr>
                  <w:r>
                    <w:rPr>
                      <w:rFonts w:hint="eastAsia"/>
                    </w:rPr>
                    <w:t>900-041-49</w:t>
                  </w:r>
                </w:p>
              </w:tc>
              <w:tc>
                <w:tcPr>
                  <w:tcW w:w="747" w:type="dxa"/>
                  <w:tcBorders>
                    <w:tl2br w:val="nil"/>
                    <w:tr2bl w:val="nil"/>
                  </w:tcBorders>
                  <w:vAlign w:val="center"/>
                </w:tcPr>
                <w:p w14:paraId="7660601A">
                  <w:pPr>
                    <w:pStyle w:val="38"/>
                    <w:bidi w:val="0"/>
                  </w:pPr>
                  <w:r>
                    <w:rPr>
                      <w:rFonts w:hint="eastAsia"/>
                      <w:lang w:val="en-US" w:eastAsia="zh-CN"/>
                    </w:rPr>
                    <w:t>0.001</w:t>
                  </w:r>
                </w:p>
              </w:tc>
              <w:tc>
                <w:tcPr>
                  <w:tcW w:w="551" w:type="pct"/>
                  <w:vMerge w:val="continue"/>
                  <w:tcBorders>
                    <w:tl2br w:val="nil"/>
                    <w:tr2bl w:val="nil"/>
                  </w:tcBorders>
                  <w:vAlign w:val="center"/>
                </w:tcPr>
                <w:p w14:paraId="3BD1FE0E">
                  <w:pPr>
                    <w:pStyle w:val="38"/>
                  </w:pPr>
                </w:p>
              </w:tc>
              <w:tc>
                <w:tcPr>
                  <w:tcW w:w="273" w:type="pct"/>
                  <w:tcBorders>
                    <w:tl2br w:val="nil"/>
                    <w:tr2bl w:val="nil"/>
                  </w:tcBorders>
                  <w:vAlign w:val="center"/>
                </w:tcPr>
                <w:p w14:paraId="692B8BCF">
                  <w:pPr>
                    <w:pStyle w:val="38"/>
                  </w:pPr>
                  <w:r>
                    <w:rPr>
                      <w:rFonts w:hint="eastAsia"/>
                    </w:rPr>
                    <w:t>固态</w:t>
                  </w:r>
                </w:p>
              </w:tc>
              <w:tc>
                <w:tcPr>
                  <w:tcW w:w="423" w:type="pct"/>
                  <w:tcBorders>
                    <w:tl2br w:val="nil"/>
                    <w:tr2bl w:val="nil"/>
                  </w:tcBorders>
                  <w:vAlign w:val="center"/>
                </w:tcPr>
                <w:p w14:paraId="5E73F633">
                  <w:pPr>
                    <w:pStyle w:val="38"/>
                  </w:pPr>
                  <w:r>
                    <w:rPr>
                      <w:rFonts w:hint="eastAsia"/>
                    </w:rPr>
                    <w:t>矿物油</w:t>
                  </w:r>
                </w:p>
              </w:tc>
              <w:tc>
                <w:tcPr>
                  <w:tcW w:w="374" w:type="pct"/>
                  <w:tcBorders>
                    <w:tl2br w:val="nil"/>
                    <w:tr2bl w:val="nil"/>
                  </w:tcBorders>
                  <w:vAlign w:val="center"/>
                </w:tcPr>
                <w:p w14:paraId="34EC0010">
                  <w:pPr>
                    <w:pStyle w:val="38"/>
                  </w:pPr>
                  <w:r>
                    <w:rPr>
                      <w:rFonts w:hint="eastAsia"/>
                    </w:rPr>
                    <w:t>矿物油</w:t>
                  </w:r>
                </w:p>
              </w:tc>
              <w:tc>
                <w:tcPr>
                  <w:tcW w:w="273" w:type="pct"/>
                  <w:tcBorders>
                    <w:tl2br w:val="nil"/>
                    <w:tr2bl w:val="nil"/>
                  </w:tcBorders>
                  <w:vAlign w:val="center"/>
                </w:tcPr>
                <w:p w14:paraId="6EADCF3F">
                  <w:pPr>
                    <w:pStyle w:val="38"/>
                  </w:pPr>
                  <w:r>
                    <w:rPr>
                      <w:rFonts w:hint="eastAsia"/>
                    </w:rPr>
                    <w:t>1年</w:t>
                  </w:r>
                </w:p>
              </w:tc>
              <w:tc>
                <w:tcPr>
                  <w:tcW w:w="427" w:type="pct"/>
                  <w:tcBorders>
                    <w:tl2br w:val="nil"/>
                    <w:tr2bl w:val="nil"/>
                  </w:tcBorders>
                  <w:vAlign w:val="center"/>
                </w:tcPr>
                <w:p w14:paraId="67EF0534">
                  <w:pPr>
                    <w:pStyle w:val="38"/>
                  </w:pPr>
                  <w:r>
                    <w:t>T</w:t>
                  </w:r>
                  <w:r>
                    <w:rPr>
                      <w:rFonts w:hint="eastAsia"/>
                      <w:lang w:eastAsia="zh-CN"/>
                    </w:rPr>
                    <w:t>，</w:t>
                  </w:r>
                  <w:r>
                    <w:t>I</w:t>
                  </w:r>
                </w:p>
              </w:tc>
              <w:tc>
                <w:tcPr>
                  <w:tcW w:w="340" w:type="pct"/>
                  <w:vMerge w:val="continue"/>
                  <w:tcBorders>
                    <w:tl2br w:val="nil"/>
                    <w:tr2bl w:val="nil"/>
                  </w:tcBorders>
                  <w:vAlign w:val="center"/>
                </w:tcPr>
                <w:p w14:paraId="54964EDD">
                  <w:pPr>
                    <w:pStyle w:val="38"/>
                  </w:pPr>
                </w:p>
              </w:tc>
            </w:tr>
          </w:tbl>
          <w:p w14:paraId="16FFEE0D">
            <w:pPr>
              <w:pStyle w:val="42"/>
              <w:spacing w:before="120" w:beforeLines="50"/>
              <w:ind w:firstLine="482"/>
              <w:jc w:val="left"/>
              <w:rPr>
                <w:b/>
                <w:bCs/>
              </w:rPr>
            </w:pPr>
            <w:r>
              <w:rPr>
                <w:b/>
                <w:bCs/>
              </w:rPr>
              <w:t>2、固废环境影响分析</w:t>
            </w:r>
          </w:p>
          <w:p w14:paraId="540DE6F2">
            <w:pPr>
              <w:pStyle w:val="36"/>
              <w:ind w:firstLine="480"/>
              <w:rPr>
                <w:rFonts w:hint="default"/>
              </w:rPr>
            </w:pPr>
            <w:r>
              <w:t>本项目固体废物包括员工生活垃圾，</w:t>
            </w:r>
            <w:r>
              <w:rPr>
                <w:rFonts w:hint="default"/>
              </w:rPr>
              <w:t>一般固体废物（</w:t>
            </w:r>
            <w:r>
              <w:t>栅渣、沉砂、污泥、干污泥、废包装材料</w:t>
            </w:r>
            <w:r>
              <w:rPr>
                <w:rFonts w:hint="default"/>
              </w:rPr>
              <w:t>）以及危险废物（</w:t>
            </w:r>
            <w:r>
              <w:t>实验室废液、废药剂、在线监测废液、废试剂瓶、废润滑油、废润滑油桶</w:t>
            </w:r>
            <w:r>
              <w:rPr>
                <w:rFonts w:hint="eastAsia"/>
                <w:lang w:eastAsia="zh-CN"/>
              </w:rPr>
              <w:t>、</w:t>
            </w:r>
            <w:r>
              <w:rPr>
                <w:rFonts w:hint="eastAsia"/>
                <w:snapToGrid w:val="0"/>
                <w:kern w:val="0"/>
                <w:szCs w:val="21"/>
              </w:rPr>
              <w:t>废含油抹布和手套</w:t>
            </w:r>
            <w:r>
              <w:rPr>
                <w:rFonts w:hint="default"/>
              </w:rPr>
              <w:t>）</w:t>
            </w:r>
            <w:r>
              <w:t>；一般固体废物中废包装材料</w:t>
            </w:r>
            <w:r>
              <w:rPr>
                <w:rFonts w:hint="default"/>
              </w:rPr>
              <w:t>定期外售资源回收单位；危险废物暂存于危废暂存间，定期交由有资质单位处置；</w:t>
            </w:r>
            <w:r>
              <w:t>栅渣、沉砂、</w:t>
            </w:r>
            <w:r>
              <w:rPr>
                <w:rFonts w:hint="default"/>
              </w:rPr>
              <w:t>生活垃圾交由环卫部门处置</w:t>
            </w:r>
            <w:r>
              <w:t>；污泥储存于污泥斗，定期转运处置；</w:t>
            </w:r>
            <w:r>
              <w:rPr>
                <w:rFonts w:hint="default"/>
              </w:rPr>
              <w:t>项目固废储存设施基本信息如下。</w:t>
            </w:r>
          </w:p>
          <w:p w14:paraId="0BA9259D">
            <w:pPr>
              <w:pStyle w:val="52"/>
            </w:pPr>
            <w:r>
              <w:rPr>
                <w:rFonts w:hint="eastAsia"/>
              </w:rPr>
              <w:t>一般固废暂存设施基本信息表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034"/>
              <w:gridCol w:w="1343"/>
              <w:gridCol w:w="1106"/>
              <w:gridCol w:w="822"/>
              <w:gridCol w:w="1475"/>
              <w:gridCol w:w="983"/>
              <w:gridCol w:w="1026"/>
            </w:tblGrid>
            <w:tr w14:paraId="56EFE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629" w:type="pct"/>
                  <w:vAlign w:val="center"/>
                </w:tcPr>
                <w:p w14:paraId="4ED9ADA9">
                  <w:pPr>
                    <w:tabs>
                      <w:tab w:val="left" w:pos="420"/>
                    </w:tabs>
                    <w:spacing w:line="240" w:lineRule="atLeast"/>
                    <w:jc w:val="center"/>
                    <w:rPr>
                      <w:rFonts w:hint="default" w:eastAsia="宋体" w:cstheme="minorBidi"/>
                      <w:b/>
                      <w:bCs/>
                      <w:color w:val="000000"/>
                      <w:szCs w:val="21"/>
                      <w:lang w:val="en-US" w:eastAsia="zh-CN"/>
                    </w:rPr>
                  </w:pPr>
                  <w:r>
                    <w:rPr>
                      <w:rFonts w:hint="eastAsia" w:cstheme="minorBidi"/>
                      <w:b/>
                      <w:bCs/>
                      <w:color w:val="000000"/>
                      <w:szCs w:val="21"/>
                      <w:lang w:val="en-US" w:eastAsia="zh-CN"/>
                    </w:rPr>
                    <w:t>项目名称</w:t>
                  </w:r>
                </w:p>
              </w:tc>
              <w:tc>
                <w:tcPr>
                  <w:tcW w:w="580" w:type="pct"/>
                  <w:vAlign w:val="center"/>
                </w:tcPr>
                <w:p w14:paraId="101789AE">
                  <w:pPr>
                    <w:tabs>
                      <w:tab w:val="left" w:pos="420"/>
                    </w:tabs>
                    <w:spacing w:line="240" w:lineRule="atLeast"/>
                    <w:jc w:val="center"/>
                    <w:rPr>
                      <w:rFonts w:cstheme="minorBidi"/>
                      <w:b/>
                      <w:bCs/>
                      <w:color w:val="000000"/>
                      <w:szCs w:val="21"/>
                    </w:rPr>
                  </w:pPr>
                  <w:r>
                    <w:rPr>
                      <w:rFonts w:hint="eastAsia" w:cstheme="minorBidi"/>
                      <w:b/>
                      <w:bCs/>
                      <w:color w:val="000000"/>
                      <w:szCs w:val="21"/>
                    </w:rPr>
                    <w:t>贮存场所（设施）名称</w:t>
                  </w:r>
                </w:p>
              </w:tc>
              <w:tc>
                <w:tcPr>
                  <w:tcW w:w="753" w:type="pct"/>
                  <w:vAlign w:val="center"/>
                </w:tcPr>
                <w:p w14:paraId="592F61B1">
                  <w:pPr>
                    <w:tabs>
                      <w:tab w:val="left" w:pos="420"/>
                    </w:tabs>
                    <w:spacing w:line="240" w:lineRule="atLeast"/>
                    <w:jc w:val="center"/>
                    <w:rPr>
                      <w:rFonts w:cstheme="minorBidi"/>
                      <w:b/>
                      <w:bCs/>
                      <w:color w:val="000000"/>
                      <w:szCs w:val="21"/>
                    </w:rPr>
                  </w:pPr>
                  <w:r>
                    <w:rPr>
                      <w:rFonts w:hint="eastAsia" w:cstheme="minorBidi"/>
                      <w:b/>
                      <w:bCs/>
                      <w:color w:val="000000"/>
                      <w:szCs w:val="21"/>
                    </w:rPr>
                    <w:t>废物名称</w:t>
                  </w:r>
                </w:p>
              </w:tc>
              <w:tc>
                <w:tcPr>
                  <w:tcW w:w="620" w:type="pct"/>
                  <w:vAlign w:val="center"/>
                </w:tcPr>
                <w:p w14:paraId="54481BF5">
                  <w:pPr>
                    <w:tabs>
                      <w:tab w:val="left" w:pos="420"/>
                    </w:tabs>
                    <w:spacing w:line="240" w:lineRule="atLeast"/>
                    <w:jc w:val="center"/>
                    <w:rPr>
                      <w:rFonts w:cstheme="minorBidi"/>
                      <w:b/>
                      <w:bCs/>
                      <w:color w:val="000000"/>
                      <w:szCs w:val="21"/>
                    </w:rPr>
                  </w:pPr>
                  <w:r>
                    <w:rPr>
                      <w:rFonts w:hint="eastAsia" w:cstheme="minorBidi"/>
                      <w:b/>
                      <w:bCs/>
                      <w:color w:val="000000"/>
                      <w:szCs w:val="21"/>
                    </w:rPr>
                    <w:t>位置</w:t>
                  </w:r>
                </w:p>
              </w:tc>
              <w:tc>
                <w:tcPr>
                  <w:tcW w:w="461" w:type="pct"/>
                  <w:vAlign w:val="center"/>
                </w:tcPr>
                <w:p w14:paraId="47765D3B">
                  <w:pPr>
                    <w:tabs>
                      <w:tab w:val="left" w:pos="420"/>
                    </w:tabs>
                    <w:spacing w:line="240" w:lineRule="atLeast"/>
                    <w:jc w:val="center"/>
                    <w:rPr>
                      <w:rFonts w:cstheme="minorBidi"/>
                      <w:b/>
                      <w:bCs/>
                      <w:color w:val="000000"/>
                      <w:szCs w:val="21"/>
                    </w:rPr>
                  </w:pPr>
                  <w:r>
                    <w:rPr>
                      <w:rFonts w:hint="eastAsia" w:cstheme="minorBidi"/>
                      <w:b/>
                      <w:bCs/>
                      <w:color w:val="000000"/>
                      <w:szCs w:val="21"/>
                    </w:rPr>
                    <w:t>占地面积</w:t>
                  </w:r>
                </w:p>
              </w:tc>
              <w:tc>
                <w:tcPr>
                  <w:tcW w:w="827" w:type="pct"/>
                  <w:vAlign w:val="center"/>
                </w:tcPr>
                <w:p w14:paraId="2A1F2074">
                  <w:pPr>
                    <w:tabs>
                      <w:tab w:val="left" w:pos="420"/>
                    </w:tabs>
                    <w:spacing w:line="240" w:lineRule="atLeast"/>
                    <w:jc w:val="center"/>
                    <w:rPr>
                      <w:rFonts w:cstheme="minorBidi"/>
                      <w:b/>
                      <w:bCs/>
                      <w:color w:val="000000"/>
                      <w:szCs w:val="21"/>
                    </w:rPr>
                  </w:pPr>
                  <w:r>
                    <w:rPr>
                      <w:rFonts w:hint="eastAsia" w:cstheme="minorBidi"/>
                      <w:b/>
                      <w:bCs/>
                      <w:color w:val="000000"/>
                      <w:szCs w:val="21"/>
                    </w:rPr>
                    <w:t>贮存方式</w:t>
                  </w:r>
                </w:p>
              </w:tc>
              <w:tc>
                <w:tcPr>
                  <w:tcW w:w="551" w:type="pct"/>
                  <w:vAlign w:val="center"/>
                </w:tcPr>
                <w:p w14:paraId="33C2E2ED">
                  <w:pPr>
                    <w:tabs>
                      <w:tab w:val="left" w:pos="420"/>
                    </w:tabs>
                    <w:spacing w:line="240" w:lineRule="atLeast"/>
                    <w:jc w:val="center"/>
                    <w:rPr>
                      <w:rFonts w:cstheme="minorBidi"/>
                      <w:b/>
                      <w:bCs/>
                      <w:color w:val="000000"/>
                      <w:szCs w:val="21"/>
                    </w:rPr>
                  </w:pPr>
                  <w:r>
                    <w:rPr>
                      <w:rFonts w:hint="eastAsia" w:cstheme="minorBidi"/>
                      <w:b/>
                      <w:bCs/>
                      <w:color w:val="000000"/>
                      <w:szCs w:val="21"/>
                    </w:rPr>
                    <w:t>贮存能力</w:t>
                  </w:r>
                </w:p>
              </w:tc>
              <w:tc>
                <w:tcPr>
                  <w:tcW w:w="575" w:type="pct"/>
                  <w:vAlign w:val="center"/>
                </w:tcPr>
                <w:p w14:paraId="15687E82">
                  <w:pPr>
                    <w:tabs>
                      <w:tab w:val="left" w:pos="420"/>
                    </w:tabs>
                    <w:spacing w:line="240" w:lineRule="atLeast"/>
                    <w:jc w:val="center"/>
                    <w:rPr>
                      <w:rFonts w:cstheme="minorBidi"/>
                      <w:b/>
                      <w:bCs/>
                      <w:color w:val="000000"/>
                      <w:szCs w:val="21"/>
                    </w:rPr>
                  </w:pPr>
                  <w:r>
                    <w:rPr>
                      <w:rFonts w:hint="eastAsia" w:cstheme="minorBidi"/>
                      <w:b/>
                      <w:bCs/>
                      <w:color w:val="000000"/>
                      <w:szCs w:val="21"/>
                    </w:rPr>
                    <w:t>贮存周期</w:t>
                  </w:r>
                </w:p>
              </w:tc>
            </w:tr>
            <w:tr w14:paraId="098C8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29" w:type="pct"/>
                  <w:vMerge w:val="restart"/>
                  <w:vAlign w:val="center"/>
                </w:tcPr>
                <w:p w14:paraId="78091157">
                  <w:pPr>
                    <w:pStyle w:val="38"/>
                    <w:rPr>
                      <w:rFonts w:hint="eastAsia" w:eastAsia="宋体"/>
                      <w:lang w:eastAsia="zh-CN"/>
                    </w:rPr>
                  </w:pPr>
                  <w:r>
                    <w:rPr>
                      <w:rFonts w:hint="eastAsia"/>
                      <w:lang w:eastAsia="zh-CN"/>
                    </w:rPr>
                    <w:t>宁都县青塘镇污水处理厂工程</w:t>
                  </w:r>
                </w:p>
              </w:tc>
              <w:tc>
                <w:tcPr>
                  <w:tcW w:w="580" w:type="pct"/>
                  <w:vMerge w:val="restart"/>
                  <w:vAlign w:val="center"/>
                </w:tcPr>
                <w:p w14:paraId="63931B83">
                  <w:pPr>
                    <w:tabs>
                      <w:tab w:val="left" w:pos="420"/>
                    </w:tabs>
                    <w:spacing w:line="240" w:lineRule="atLeast"/>
                    <w:jc w:val="center"/>
                    <w:rPr>
                      <w:rFonts w:cstheme="minorBidi"/>
                      <w:color w:val="000000"/>
                      <w:szCs w:val="21"/>
                    </w:rPr>
                  </w:pPr>
                  <w:r>
                    <w:rPr>
                      <w:rFonts w:hint="eastAsia" w:eastAsiaTheme="minorEastAsia"/>
                      <w:szCs w:val="21"/>
                    </w:rPr>
                    <w:t>一般固废暂存间</w:t>
                  </w:r>
                </w:p>
              </w:tc>
              <w:tc>
                <w:tcPr>
                  <w:tcW w:w="753" w:type="pct"/>
                  <w:vAlign w:val="center"/>
                </w:tcPr>
                <w:p w14:paraId="6D48FD59">
                  <w:pPr>
                    <w:jc w:val="center"/>
                    <w:rPr>
                      <w:snapToGrid w:val="0"/>
                      <w:kern w:val="0"/>
                      <w:szCs w:val="21"/>
                    </w:rPr>
                  </w:pPr>
                  <w:r>
                    <w:rPr>
                      <w:rFonts w:hint="eastAsia"/>
                      <w:snapToGrid w:val="0"/>
                      <w:kern w:val="0"/>
                      <w:szCs w:val="21"/>
                    </w:rPr>
                    <w:t>栅渣</w:t>
                  </w:r>
                </w:p>
              </w:tc>
              <w:tc>
                <w:tcPr>
                  <w:tcW w:w="620" w:type="pct"/>
                  <w:vMerge w:val="restart"/>
                  <w:vAlign w:val="center"/>
                </w:tcPr>
                <w:p w14:paraId="60B29F5D">
                  <w:pPr>
                    <w:tabs>
                      <w:tab w:val="left" w:pos="420"/>
                    </w:tabs>
                    <w:spacing w:line="240" w:lineRule="atLeast"/>
                    <w:jc w:val="center"/>
                    <w:rPr>
                      <w:rFonts w:cstheme="minorBidi"/>
                      <w:color w:val="000000"/>
                      <w:szCs w:val="21"/>
                    </w:rPr>
                  </w:pPr>
                  <w:r>
                    <w:rPr>
                      <w:rFonts w:hint="eastAsia" w:cstheme="minorBidi"/>
                      <w:color w:val="000000"/>
                      <w:szCs w:val="21"/>
                    </w:rPr>
                    <w:t>厂区西侧</w:t>
                  </w:r>
                </w:p>
              </w:tc>
              <w:tc>
                <w:tcPr>
                  <w:tcW w:w="461" w:type="pct"/>
                  <w:vMerge w:val="restart"/>
                  <w:vAlign w:val="center"/>
                </w:tcPr>
                <w:p w14:paraId="24625C0A">
                  <w:pPr>
                    <w:tabs>
                      <w:tab w:val="left" w:pos="420"/>
                    </w:tabs>
                    <w:spacing w:line="240" w:lineRule="atLeast"/>
                    <w:jc w:val="center"/>
                    <w:rPr>
                      <w:rFonts w:cstheme="minorBidi"/>
                      <w:color w:val="000000"/>
                      <w:szCs w:val="21"/>
                    </w:rPr>
                  </w:pPr>
                  <w:r>
                    <w:rPr>
                      <w:rFonts w:hint="eastAsia" w:cstheme="minorBidi"/>
                      <w:szCs w:val="21"/>
                      <w:lang w:val="en-US" w:eastAsia="zh-CN"/>
                    </w:rPr>
                    <w:t>1</w:t>
                  </w:r>
                  <w:r>
                    <w:t>m</w:t>
                  </w:r>
                  <w:r>
                    <w:rPr>
                      <w:vertAlign w:val="superscript"/>
                    </w:rPr>
                    <w:t>2</w:t>
                  </w:r>
                </w:p>
              </w:tc>
              <w:tc>
                <w:tcPr>
                  <w:tcW w:w="827" w:type="pct"/>
                  <w:vAlign w:val="center"/>
                </w:tcPr>
                <w:p w14:paraId="46B6931E">
                  <w:pPr>
                    <w:tabs>
                      <w:tab w:val="left" w:pos="420"/>
                    </w:tabs>
                    <w:spacing w:line="240" w:lineRule="atLeast"/>
                    <w:jc w:val="center"/>
                    <w:rPr>
                      <w:rFonts w:cstheme="minorBidi"/>
                      <w:color w:val="000000"/>
                      <w:szCs w:val="21"/>
                    </w:rPr>
                  </w:pPr>
                  <w:r>
                    <w:rPr>
                      <w:rFonts w:hint="eastAsia" w:cstheme="minorBidi"/>
                      <w:color w:val="000000"/>
                      <w:szCs w:val="21"/>
                    </w:rPr>
                    <w:t>堆放</w:t>
                  </w:r>
                </w:p>
              </w:tc>
              <w:tc>
                <w:tcPr>
                  <w:tcW w:w="551" w:type="pct"/>
                  <w:vMerge w:val="restart"/>
                  <w:vAlign w:val="center"/>
                </w:tcPr>
                <w:p w14:paraId="6EB10BE8">
                  <w:pPr>
                    <w:tabs>
                      <w:tab w:val="left" w:pos="420"/>
                    </w:tabs>
                    <w:spacing w:line="240" w:lineRule="atLeast"/>
                    <w:jc w:val="center"/>
                    <w:rPr>
                      <w:rFonts w:cstheme="minorBidi"/>
                      <w:color w:val="000000"/>
                      <w:szCs w:val="21"/>
                    </w:rPr>
                  </w:pPr>
                  <w:r>
                    <w:rPr>
                      <w:rFonts w:hint="eastAsia" w:cstheme="minorBidi"/>
                      <w:color w:val="000000"/>
                      <w:szCs w:val="21"/>
                      <w:lang w:val="en-US" w:eastAsia="zh-CN"/>
                    </w:rPr>
                    <w:t>1</w:t>
                  </w:r>
                  <w:r>
                    <w:rPr>
                      <w:rFonts w:hint="eastAsia" w:cstheme="minorBidi"/>
                      <w:color w:val="000000"/>
                      <w:szCs w:val="21"/>
                    </w:rPr>
                    <w:t>t</w:t>
                  </w:r>
                </w:p>
              </w:tc>
              <w:tc>
                <w:tcPr>
                  <w:tcW w:w="575" w:type="pct"/>
                  <w:vAlign w:val="center"/>
                </w:tcPr>
                <w:p w14:paraId="1BE7C718">
                  <w:pPr>
                    <w:tabs>
                      <w:tab w:val="left" w:pos="420"/>
                    </w:tabs>
                    <w:spacing w:line="240" w:lineRule="atLeast"/>
                    <w:jc w:val="center"/>
                    <w:rPr>
                      <w:rFonts w:cstheme="minorBidi"/>
                      <w:color w:val="000000"/>
                      <w:szCs w:val="21"/>
                    </w:rPr>
                  </w:pPr>
                  <w:r>
                    <w:rPr>
                      <w:rFonts w:hint="eastAsia" w:cstheme="minorBidi"/>
                      <w:color w:val="000000"/>
                      <w:szCs w:val="21"/>
                    </w:rPr>
                    <w:t>1d</w:t>
                  </w:r>
                </w:p>
              </w:tc>
            </w:tr>
            <w:tr w14:paraId="399FB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29" w:type="pct"/>
                  <w:vMerge w:val="continue"/>
                  <w:vAlign w:val="center"/>
                </w:tcPr>
                <w:p w14:paraId="3E3331C0">
                  <w:pPr>
                    <w:pStyle w:val="38"/>
                  </w:pPr>
                </w:p>
              </w:tc>
              <w:tc>
                <w:tcPr>
                  <w:tcW w:w="580" w:type="pct"/>
                  <w:vMerge w:val="continue"/>
                  <w:vAlign w:val="center"/>
                </w:tcPr>
                <w:p w14:paraId="2358C81E">
                  <w:pPr>
                    <w:tabs>
                      <w:tab w:val="left" w:pos="420"/>
                    </w:tabs>
                    <w:spacing w:line="240" w:lineRule="atLeast"/>
                    <w:jc w:val="center"/>
                    <w:rPr>
                      <w:rFonts w:cstheme="minorBidi"/>
                      <w:color w:val="000000"/>
                      <w:szCs w:val="21"/>
                    </w:rPr>
                  </w:pPr>
                </w:p>
              </w:tc>
              <w:tc>
                <w:tcPr>
                  <w:tcW w:w="753" w:type="pct"/>
                  <w:vAlign w:val="center"/>
                </w:tcPr>
                <w:p w14:paraId="4CBA99DD">
                  <w:pPr>
                    <w:jc w:val="center"/>
                    <w:rPr>
                      <w:snapToGrid w:val="0"/>
                      <w:kern w:val="0"/>
                      <w:szCs w:val="21"/>
                    </w:rPr>
                  </w:pPr>
                  <w:r>
                    <w:rPr>
                      <w:rFonts w:hint="eastAsia"/>
                      <w:snapToGrid w:val="0"/>
                      <w:kern w:val="0"/>
                      <w:szCs w:val="21"/>
                    </w:rPr>
                    <w:t>沉砂</w:t>
                  </w:r>
                </w:p>
              </w:tc>
              <w:tc>
                <w:tcPr>
                  <w:tcW w:w="620" w:type="pct"/>
                  <w:vMerge w:val="continue"/>
                  <w:vAlign w:val="center"/>
                </w:tcPr>
                <w:p w14:paraId="40A52435">
                  <w:pPr>
                    <w:tabs>
                      <w:tab w:val="left" w:pos="420"/>
                    </w:tabs>
                    <w:spacing w:line="240" w:lineRule="atLeast"/>
                    <w:jc w:val="center"/>
                    <w:rPr>
                      <w:rFonts w:cstheme="minorBidi"/>
                      <w:color w:val="000000"/>
                      <w:szCs w:val="21"/>
                    </w:rPr>
                  </w:pPr>
                </w:p>
              </w:tc>
              <w:tc>
                <w:tcPr>
                  <w:tcW w:w="461" w:type="pct"/>
                  <w:vMerge w:val="continue"/>
                  <w:vAlign w:val="center"/>
                </w:tcPr>
                <w:p w14:paraId="724AB0D2">
                  <w:pPr>
                    <w:tabs>
                      <w:tab w:val="left" w:pos="420"/>
                    </w:tabs>
                    <w:spacing w:line="240" w:lineRule="atLeast"/>
                    <w:jc w:val="center"/>
                    <w:rPr>
                      <w:rFonts w:cstheme="minorBidi"/>
                      <w:color w:val="000000"/>
                      <w:szCs w:val="21"/>
                    </w:rPr>
                  </w:pPr>
                </w:p>
              </w:tc>
              <w:tc>
                <w:tcPr>
                  <w:tcW w:w="827" w:type="pct"/>
                  <w:vAlign w:val="center"/>
                </w:tcPr>
                <w:p w14:paraId="4F729525">
                  <w:pPr>
                    <w:tabs>
                      <w:tab w:val="left" w:pos="420"/>
                    </w:tabs>
                    <w:spacing w:line="240" w:lineRule="atLeast"/>
                    <w:jc w:val="center"/>
                    <w:rPr>
                      <w:rFonts w:cstheme="minorBidi"/>
                      <w:color w:val="000000"/>
                      <w:szCs w:val="21"/>
                    </w:rPr>
                  </w:pPr>
                  <w:r>
                    <w:rPr>
                      <w:rFonts w:hint="eastAsia" w:cstheme="minorBidi"/>
                      <w:color w:val="000000"/>
                      <w:szCs w:val="21"/>
                    </w:rPr>
                    <w:t>堆放</w:t>
                  </w:r>
                </w:p>
              </w:tc>
              <w:tc>
                <w:tcPr>
                  <w:tcW w:w="551" w:type="pct"/>
                  <w:vMerge w:val="continue"/>
                  <w:vAlign w:val="center"/>
                </w:tcPr>
                <w:p w14:paraId="6279DC16">
                  <w:pPr>
                    <w:tabs>
                      <w:tab w:val="left" w:pos="420"/>
                    </w:tabs>
                    <w:spacing w:line="240" w:lineRule="atLeast"/>
                    <w:jc w:val="center"/>
                    <w:rPr>
                      <w:rFonts w:cstheme="minorBidi"/>
                      <w:color w:val="000000"/>
                      <w:szCs w:val="21"/>
                    </w:rPr>
                  </w:pPr>
                </w:p>
              </w:tc>
              <w:tc>
                <w:tcPr>
                  <w:tcW w:w="575" w:type="pct"/>
                  <w:vAlign w:val="center"/>
                </w:tcPr>
                <w:p w14:paraId="5DF218C0">
                  <w:pPr>
                    <w:tabs>
                      <w:tab w:val="left" w:pos="420"/>
                    </w:tabs>
                    <w:spacing w:line="240" w:lineRule="atLeast"/>
                    <w:jc w:val="center"/>
                    <w:rPr>
                      <w:rFonts w:cstheme="minorBidi"/>
                      <w:color w:val="000000"/>
                      <w:szCs w:val="21"/>
                    </w:rPr>
                  </w:pPr>
                  <w:r>
                    <w:rPr>
                      <w:rFonts w:hint="eastAsia" w:cstheme="minorBidi"/>
                      <w:color w:val="000000"/>
                      <w:szCs w:val="21"/>
                    </w:rPr>
                    <w:t>1d</w:t>
                  </w:r>
                </w:p>
              </w:tc>
            </w:tr>
            <w:tr w14:paraId="22839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29" w:type="pct"/>
                  <w:vMerge w:val="continue"/>
                  <w:vAlign w:val="center"/>
                </w:tcPr>
                <w:p w14:paraId="14B99D9B">
                  <w:pPr>
                    <w:pStyle w:val="38"/>
                  </w:pPr>
                </w:p>
              </w:tc>
              <w:tc>
                <w:tcPr>
                  <w:tcW w:w="580" w:type="pct"/>
                  <w:vMerge w:val="continue"/>
                  <w:vAlign w:val="center"/>
                </w:tcPr>
                <w:p w14:paraId="471DD2F9">
                  <w:pPr>
                    <w:tabs>
                      <w:tab w:val="left" w:pos="420"/>
                    </w:tabs>
                    <w:spacing w:line="240" w:lineRule="atLeast"/>
                    <w:jc w:val="center"/>
                    <w:rPr>
                      <w:rFonts w:cstheme="minorBidi"/>
                      <w:color w:val="000000"/>
                      <w:szCs w:val="21"/>
                    </w:rPr>
                  </w:pPr>
                </w:p>
              </w:tc>
              <w:tc>
                <w:tcPr>
                  <w:tcW w:w="753" w:type="pct"/>
                  <w:vAlign w:val="center"/>
                </w:tcPr>
                <w:p w14:paraId="7D44500C">
                  <w:pPr>
                    <w:jc w:val="center"/>
                    <w:rPr>
                      <w:snapToGrid w:val="0"/>
                      <w:kern w:val="0"/>
                      <w:szCs w:val="21"/>
                    </w:rPr>
                  </w:pPr>
                  <w:r>
                    <w:rPr>
                      <w:rFonts w:hint="eastAsia"/>
                      <w:snapToGrid w:val="0"/>
                      <w:kern w:val="0"/>
                      <w:szCs w:val="21"/>
                    </w:rPr>
                    <w:t>废包装材料</w:t>
                  </w:r>
                </w:p>
              </w:tc>
              <w:tc>
                <w:tcPr>
                  <w:tcW w:w="620" w:type="pct"/>
                  <w:vMerge w:val="continue"/>
                  <w:vAlign w:val="center"/>
                </w:tcPr>
                <w:p w14:paraId="6379911B">
                  <w:pPr>
                    <w:tabs>
                      <w:tab w:val="left" w:pos="420"/>
                    </w:tabs>
                    <w:spacing w:line="240" w:lineRule="atLeast"/>
                    <w:jc w:val="center"/>
                    <w:rPr>
                      <w:rFonts w:cstheme="minorBidi"/>
                      <w:color w:val="000000"/>
                      <w:szCs w:val="21"/>
                    </w:rPr>
                  </w:pPr>
                </w:p>
              </w:tc>
              <w:tc>
                <w:tcPr>
                  <w:tcW w:w="461" w:type="pct"/>
                  <w:vMerge w:val="continue"/>
                  <w:vAlign w:val="center"/>
                </w:tcPr>
                <w:p w14:paraId="34F41EB8">
                  <w:pPr>
                    <w:tabs>
                      <w:tab w:val="left" w:pos="420"/>
                    </w:tabs>
                    <w:spacing w:line="240" w:lineRule="atLeast"/>
                    <w:jc w:val="center"/>
                    <w:rPr>
                      <w:rFonts w:cstheme="minorBidi"/>
                      <w:color w:val="000000"/>
                      <w:szCs w:val="21"/>
                    </w:rPr>
                  </w:pPr>
                </w:p>
              </w:tc>
              <w:tc>
                <w:tcPr>
                  <w:tcW w:w="827" w:type="pct"/>
                  <w:vAlign w:val="center"/>
                </w:tcPr>
                <w:p w14:paraId="579C603A">
                  <w:pPr>
                    <w:tabs>
                      <w:tab w:val="left" w:pos="420"/>
                    </w:tabs>
                    <w:spacing w:line="240" w:lineRule="atLeast"/>
                    <w:jc w:val="center"/>
                    <w:rPr>
                      <w:rFonts w:cstheme="minorBidi"/>
                      <w:color w:val="000000"/>
                      <w:szCs w:val="21"/>
                    </w:rPr>
                  </w:pPr>
                  <w:r>
                    <w:rPr>
                      <w:rFonts w:hint="eastAsia" w:cstheme="minorBidi"/>
                      <w:color w:val="000000"/>
                      <w:szCs w:val="21"/>
                    </w:rPr>
                    <w:t>堆放</w:t>
                  </w:r>
                </w:p>
              </w:tc>
              <w:tc>
                <w:tcPr>
                  <w:tcW w:w="551" w:type="pct"/>
                  <w:vMerge w:val="continue"/>
                  <w:vAlign w:val="center"/>
                </w:tcPr>
                <w:p w14:paraId="37B7D25E">
                  <w:pPr>
                    <w:tabs>
                      <w:tab w:val="left" w:pos="420"/>
                    </w:tabs>
                    <w:spacing w:line="240" w:lineRule="atLeast"/>
                    <w:jc w:val="center"/>
                    <w:rPr>
                      <w:rFonts w:cstheme="minorBidi"/>
                      <w:color w:val="000000"/>
                      <w:szCs w:val="21"/>
                    </w:rPr>
                  </w:pPr>
                </w:p>
              </w:tc>
              <w:tc>
                <w:tcPr>
                  <w:tcW w:w="575" w:type="pct"/>
                  <w:vAlign w:val="center"/>
                </w:tcPr>
                <w:p w14:paraId="77BF3EB0">
                  <w:pPr>
                    <w:tabs>
                      <w:tab w:val="left" w:pos="420"/>
                    </w:tabs>
                    <w:spacing w:line="240" w:lineRule="atLeast"/>
                    <w:jc w:val="center"/>
                    <w:rPr>
                      <w:rFonts w:hint="eastAsia" w:eastAsia="宋体" w:cstheme="minorBidi"/>
                      <w:color w:val="000000"/>
                      <w:szCs w:val="21"/>
                      <w:lang w:val="en-US" w:eastAsia="zh-CN"/>
                    </w:rPr>
                  </w:pPr>
                  <w:r>
                    <w:rPr>
                      <w:rFonts w:hint="eastAsia" w:cstheme="minorBidi"/>
                      <w:color w:val="000000"/>
                      <w:szCs w:val="21"/>
                      <w:lang w:val="en-US" w:eastAsia="zh-CN"/>
                    </w:rPr>
                    <w:t>半年</w:t>
                  </w:r>
                </w:p>
              </w:tc>
            </w:tr>
            <w:tr w14:paraId="389D9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29" w:type="pct"/>
                  <w:vMerge w:val="continue"/>
                  <w:vAlign w:val="center"/>
                </w:tcPr>
                <w:p w14:paraId="7188F67D">
                  <w:pPr>
                    <w:pStyle w:val="38"/>
                  </w:pPr>
                </w:p>
              </w:tc>
              <w:tc>
                <w:tcPr>
                  <w:tcW w:w="580" w:type="pct"/>
                  <w:vAlign w:val="center"/>
                </w:tcPr>
                <w:p w14:paraId="0D56A1E3">
                  <w:pPr>
                    <w:tabs>
                      <w:tab w:val="left" w:pos="420"/>
                    </w:tabs>
                    <w:spacing w:line="240" w:lineRule="atLeast"/>
                    <w:jc w:val="center"/>
                    <w:rPr>
                      <w:rFonts w:cstheme="minorBidi"/>
                      <w:color w:val="000000"/>
                      <w:szCs w:val="21"/>
                    </w:rPr>
                  </w:pPr>
                  <w:r>
                    <w:rPr>
                      <w:rFonts w:hint="eastAsia" w:cstheme="minorBidi"/>
                      <w:color w:val="000000"/>
                      <w:szCs w:val="21"/>
                    </w:rPr>
                    <w:t>污泥斗</w:t>
                  </w:r>
                </w:p>
              </w:tc>
              <w:tc>
                <w:tcPr>
                  <w:tcW w:w="753" w:type="pct"/>
                  <w:vAlign w:val="center"/>
                </w:tcPr>
                <w:p w14:paraId="4B79E081">
                  <w:pPr>
                    <w:jc w:val="center"/>
                    <w:rPr>
                      <w:snapToGrid w:val="0"/>
                      <w:kern w:val="0"/>
                      <w:szCs w:val="21"/>
                    </w:rPr>
                  </w:pPr>
                  <w:r>
                    <w:rPr>
                      <w:rFonts w:hint="eastAsia"/>
                      <w:snapToGrid w:val="0"/>
                      <w:kern w:val="0"/>
                      <w:szCs w:val="21"/>
                    </w:rPr>
                    <w:t>污泥</w:t>
                  </w:r>
                </w:p>
              </w:tc>
              <w:tc>
                <w:tcPr>
                  <w:tcW w:w="620" w:type="pct"/>
                  <w:vAlign w:val="center"/>
                </w:tcPr>
                <w:p w14:paraId="6B80B255">
                  <w:pPr>
                    <w:tabs>
                      <w:tab w:val="left" w:pos="420"/>
                    </w:tabs>
                    <w:spacing w:line="240" w:lineRule="atLeast"/>
                    <w:jc w:val="center"/>
                    <w:rPr>
                      <w:rFonts w:cstheme="minorBidi"/>
                      <w:color w:val="000000"/>
                      <w:szCs w:val="21"/>
                    </w:rPr>
                  </w:pPr>
                  <w:r>
                    <w:rPr>
                      <w:rFonts w:hint="eastAsia" w:cstheme="minorBidi"/>
                      <w:color w:val="000000"/>
                      <w:szCs w:val="21"/>
                    </w:rPr>
                    <w:t>污泥脱水机房</w:t>
                  </w:r>
                </w:p>
              </w:tc>
              <w:tc>
                <w:tcPr>
                  <w:tcW w:w="461" w:type="pct"/>
                  <w:vAlign w:val="center"/>
                </w:tcPr>
                <w:p w14:paraId="340B9C95">
                  <w:pPr>
                    <w:tabs>
                      <w:tab w:val="left" w:pos="420"/>
                    </w:tabs>
                    <w:spacing w:line="240" w:lineRule="atLeast"/>
                    <w:jc w:val="center"/>
                    <w:rPr>
                      <w:rFonts w:cstheme="minorBidi"/>
                      <w:color w:val="000000"/>
                      <w:szCs w:val="21"/>
                    </w:rPr>
                  </w:pPr>
                  <w:r>
                    <w:rPr>
                      <w:rFonts w:hint="eastAsia" w:cstheme="minorBidi"/>
                      <w:color w:val="000000"/>
                      <w:szCs w:val="21"/>
                      <w:lang w:val="en-US" w:eastAsia="zh-CN"/>
                    </w:rPr>
                    <w:t>5</w:t>
                  </w:r>
                  <w:r>
                    <w:t>m</w:t>
                  </w:r>
                  <w:r>
                    <w:rPr>
                      <w:vertAlign w:val="superscript"/>
                    </w:rPr>
                    <w:t>2</w:t>
                  </w:r>
                </w:p>
              </w:tc>
              <w:tc>
                <w:tcPr>
                  <w:tcW w:w="827" w:type="pct"/>
                  <w:vAlign w:val="center"/>
                </w:tcPr>
                <w:p w14:paraId="11D1088F">
                  <w:pPr>
                    <w:tabs>
                      <w:tab w:val="left" w:pos="420"/>
                    </w:tabs>
                    <w:spacing w:line="240" w:lineRule="atLeast"/>
                    <w:jc w:val="center"/>
                    <w:rPr>
                      <w:rFonts w:cstheme="minorBidi"/>
                      <w:color w:val="000000"/>
                      <w:szCs w:val="21"/>
                    </w:rPr>
                  </w:pPr>
                  <w:r>
                    <w:rPr>
                      <w:rFonts w:hint="eastAsia" w:cstheme="minorBidi"/>
                      <w:color w:val="000000"/>
                      <w:szCs w:val="21"/>
                    </w:rPr>
                    <w:t>污泥斗存放</w:t>
                  </w:r>
                </w:p>
              </w:tc>
              <w:tc>
                <w:tcPr>
                  <w:tcW w:w="551" w:type="pct"/>
                  <w:vAlign w:val="center"/>
                </w:tcPr>
                <w:p w14:paraId="79CA67D9">
                  <w:pPr>
                    <w:tabs>
                      <w:tab w:val="left" w:pos="420"/>
                    </w:tabs>
                    <w:spacing w:line="240" w:lineRule="atLeast"/>
                    <w:jc w:val="center"/>
                    <w:rPr>
                      <w:rFonts w:cstheme="minorBidi"/>
                      <w:color w:val="000000"/>
                      <w:szCs w:val="21"/>
                    </w:rPr>
                  </w:pPr>
                  <w:r>
                    <w:rPr>
                      <w:rFonts w:hint="eastAsia" w:cstheme="minorBidi"/>
                      <w:color w:val="000000"/>
                      <w:szCs w:val="21"/>
                      <w:lang w:val="en-US" w:eastAsia="zh-CN"/>
                    </w:rPr>
                    <w:t>5</w:t>
                  </w:r>
                  <w:r>
                    <w:rPr>
                      <w:rFonts w:hint="eastAsia" w:cstheme="minorBidi"/>
                      <w:color w:val="000000"/>
                      <w:szCs w:val="21"/>
                    </w:rPr>
                    <w:t>t</w:t>
                  </w:r>
                </w:p>
              </w:tc>
              <w:tc>
                <w:tcPr>
                  <w:tcW w:w="575" w:type="pct"/>
                  <w:vAlign w:val="center"/>
                </w:tcPr>
                <w:p w14:paraId="1DD431CE">
                  <w:pPr>
                    <w:tabs>
                      <w:tab w:val="left" w:pos="420"/>
                    </w:tabs>
                    <w:spacing w:line="240" w:lineRule="atLeast"/>
                    <w:jc w:val="center"/>
                    <w:rPr>
                      <w:rFonts w:hint="eastAsia" w:eastAsia="宋体" w:cstheme="minorBidi"/>
                      <w:color w:val="000000"/>
                      <w:szCs w:val="21"/>
                      <w:lang w:val="en-US" w:eastAsia="zh-CN"/>
                    </w:rPr>
                  </w:pPr>
                  <w:r>
                    <w:rPr>
                      <w:rFonts w:hint="eastAsia" w:cstheme="minorBidi"/>
                      <w:color w:val="000000"/>
                      <w:szCs w:val="21"/>
                    </w:rPr>
                    <w:t>1</w:t>
                  </w:r>
                  <w:r>
                    <w:rPr>
                      <w:rFonts w:hint="eastAsia" w:cstheme="minorBidi"/>
                      <w:color w:val="000000"/>
                      <w:szCs w:val="21"/>
                      <w:lang w:val="en-US" w:eastAsia="zh-CN"/>
                    </w:rPr>
                    <w:t>周</w:t>
                  </w:r>
                </w:p>
              </w:tc>
            </w:tr>
          </w:tbl>
          <w:p w14:paraId="33A12BA1">
            <w:pPr>
              <w:pStyle w:val="52"/>
            </w:pPr>
            <w:r>
              <w:rPr>
                <w:rFonts w:hint="eastAsia"/>
              </w:rPr>
              <w:t>项目危险废物贮存场所（设施）基本情况</w:t>
            </w:r>
            <w:r>
              <w:t>表</w:t>
            </w:r>
          </w:p>
          <w:tbl>
            <w:tblPr>
              <w:tblStyle w:val="28"/>
              <w:tblW w:w="89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984"/>
              <w:gridCol w:w="1567"/>
              <w:gridCol w:w="776"/>
              <w:gridCol w:w="1196"/>
              <w:gridCol w:w="571"/>
              <w:gridCol w:w="667"/>
              <w:gridCol w:w="763"/>
              <w:gridCol w:w="632"/>
              <w:gridCol w:w="710"/>
            </w:tblGrid>
            <w:tr w14:paraId="0B711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3" w:hRule="atLeast"/>
                <w:tblHeader/>
                <w:jc w:val="center"/>
              </w:trPr>
              <w:tc>
                <w:tcPr>
                  <w:tcW w:w="1050" w:type="dxa"/>
                  <w:tcBorders>
                    <w:tl2br w:val="nil"/>
                    <w:tr2bl w:val="nil"/>
                  </w:tcBorders>
                  <w:vAlign w:val="center"/>
                </w:tcPr>
                <w:p w14:paraId="650CA66A">
                  <w:pPr>
                    <w:tabs>
                      <w:tab w:val="left" w:pos="420"/>
                    </w:tabs>
                    <w:spacing w:line="240" w:lineRule="atLeast"/>
                    <w:jc w:val="center"/>
                    <w:rPr>
                      <w:b/>
                      <w:bCs/>
                      <w:szCs w:val="21"/>
                    </w:rPr>
                  </w:pPr>
                  <w:r>
                    <w:rPr>
                      <w:b/>
                      <w:bCs/>
                      <w:szCs w:val="21"/>
                    </w:rPr>
                    <w:t>序号</w:t>
                  </w:r>
                </w:p>
              </w:tc>
              <w:tc>
                <w:tcPr>
                  <w:tcW w:w="984" w:type="dxa"/>
                  <w:tcBorders>
                    <w:tl2br w:val="nil"/>
                    <w:tr2bl w:val="nil"/>
                  </w:tcBorders>
                  <w:vAlign w:val="center"/>
                </w:tcPr>
                <w:p w14:paraId="50CE1265">
                  <w:pPr>
                    <w:tabs>
                      <w:tab w:val="left" w:pos="420"/>
                    </w:tabs>
                    <w:spacing w:line="240" w:lineRule="atLeast"/>
                    <w:jc w:val="center"/>
                    <w:rPr>
                      <w:b/>
                      <w:bCs/>
                      <w:szCs w:val="21"/>
                    </w:rPr>
                  </w:pPr>
                  <w:r>
                    <w:rPr>
                      <w:b/>
                      <w:bCs/>
                      <w:szCs w:val="21"/>
                    </w:rPr>
                    <w:t>贮存场所（设施）</w:t>
                  </w:r>
                </w:p>
                <w:p w14:paraId="4388672C">
                  <w:pPr>
                    <w:tabs>
                      <w:tab w:val="left" w:pos="420"/>
                    </w:tabs>
                    <w:spacing w:line="240" w:lineRule="atLeast"/>
                    <w:jc w:val="center"/>
                    <w:rPr>
                      <w:b/>
                      <w:bCs/>
                      <w:szCs w:val="21"/>
                    </w:rPr>
                  </w:pPr>
                  <w:r>
                    <w:rPr>
                      <w:b/>
                      <w:bCs/>
                      <w:szCs w:val="21"/>
                    </w:rPr>
                    <w:t>名称</w:t>
                  </w:r>
                </w:p>
              </w:tc>
              <w:tc>
                <w:tcPr>
                  <w:tcW w:w="1567" w:type="dxa"/>
                  <w:tcBorders>
                    <w:tl2br w:val="nil"/>
                    <w:tr2bl w:val="nil"/>
                  </w:tcBorders>
                  <w:vAlign w:val="center"/>
                </w:tcPr>
                <w:p w14:paraId="3DE4E0E9">
                  <w:pPr>
                    <w:tabs>
                      <w:tab w:val="left" w:pos="420"/>
                    </w:tabs>
                    <w:spacing w:line="240" w:lineRule="atLeast"/>
                    <w:jc w:val="center"/>
                    <w:rPr>
                      <w:b/>
                      <w:bCs/>
                      <w:szCs w:val="21"/>
                    </w:rPr>
                  </w:pPr>
                  <w:r>
                    <w:rPr>
                      <w:b/>
                      <w:bCs/>
                      <w:szCs w:val="21"/>
                    </w:rPr>
                    <w:t>危险废物名称</w:t>
                  </w:r>
                </w:p>
              </w:tc>
              <w:tc>
                <w:tcPr>
                  <w:tcW w:w="776" w:type="dxa"/>
                  <w:tcBorders>
                    <w:tl2br w:val="nil"/>
                    <w:tr2bl w:val="nil"/>
                  </w:tcBorders>
                  <w:vAlign w:val="center"/>
                </w:tcPr>
                <w:p w14:paraId="3A3B03B4">
                  <w:pPr>
                    <w:tabs>
                      <w:tab w:val="left" w:pos="420"/>
                    </w:tabs>
                    <w:spacing w:line="240" w:lineRule="atLeast"/>
                    <w:jc w:val="center"/>
                    <w:rPr>
                      <w:b/>
                      <w:bCs/>
                      <w:szCs w:val="21"/>
                    </w:rPr>
                  </w:pPr>
                  <w:r>
                    <w:rPr>
                      <w:b/>
                      <w:bCs/>
                      <w:szCs w:val="21"/>
                    </w:rPr>
                    <w:t>危险废物类别</w:t>
                  </w:r>
                </w:p>
              </w:tc>
              <w:tc>
                <w:tcPr>
                  <w:tcW w:w="1196" w:type="dxa"/>
                  <w:tcBorders>
                    <w:tl2br w:val="nil"/>
                    <w:tr2bl w:val="nil"/>
                  </w:tcBorders>
                  <w:vAlign w:val="center"/>
                </w:tcPr>
                <w:p w14:paraId="0056177E">
                  <w:pPr>
                    <w:tabs>
                      <w:tab w:val="left" w:pos="420"/>
                    </w:tabs>
                    <w:spacing w:line="240" w:lineRule="atLeast"/>
                    <w:jc w:val="center"/>
                    <w:rPr>
                      <w:b/>
                      <w:bCs/>
                      <w:szCs w:val="21"/>
                    </w:rPr>
                  </w:pPr>
                  <w:r>
                    <w:rPr>
                      <w:b/>
                      <w:bCs/>
                      <w:szCs w:val="21"/>
                    </w:rPr>
                    <w:t>危险废物代码</w:t>
                  </w:r>
                </w:p>
              </w:tc>
              <w:tc>
                <w:tcPr>
                  <w:tcW w:w="571" w:type="dxa"/>
                  <w:tcBorders>
                    <w:tl2br w:val="nil"/>
                    <w:tr2bl w:val="nil"/>
                  </w:tcBorders>
                  <w:vAlign w:val="center"/>
                </w:tcPr>
                <w:p w14:paraId="1F01CE88">
                  <w:pPr>
                    <w:tabs>
                      <w:tab w:val="left" w:pos="420"/>
                    </w:tabs>
                    <w:spacing w:line="240" w:lineRule="atLeast"/>
                    <w:jc w:val="center"/>
                    <w:rPr>
                      <w:b/>
                      <w:bCs/>
                      <w:szCs w:val="21"/>
                    </w:rPr>
                  </w:pPr>
                  <w:r>
                    <w:rPr>
                      <w:b/>
                      <w:bCs/>
                      <w:szCs w:val="21"/>
                    </w:rPr>
                    <w:t>位置</w:t>
                  </w:r>
                </w:p>
              </w:tc>
              <w:tc>
                <w:tcPr>
                  <w:tcW w:w="667" w:type="dxa"/>
                  <w:tcBorders>
                    <w:tl2br w:val="nil"/>
                    <w:tr2bl w:val="nil"/>
                  </w:tcBorders>
                  <w:vAlign w:val="center"/>
                </w:tcPr>
                <w:p w14:paraId="72E0508B">
                  <w:pPr>
                    <w:tabs>
                      <w:tab w:val="left" w:pos="420"/>
                    </w:tabs>
                    <w:spacing w:line="240" w:lineRule="atLeast"/>
                    <w:jc w:val="center"/>
                    <w:rPr>
                      <w:b/>
                      <w:bCs/>
                      <w:szCs w:val="21"/>
                    </w:rPr>
                  </w:pPr>
                  <w:r>
                    <w:rPr>
                      <w:b/>
                      <w:bCs/>
                      <w:szCs w:val="21"/>
                    </w:rPr>
                    <w:t>占地面积</w:t>
                  </w:r>
                </w:p>
              </w:tc>
              <w:tc>
                <w:tcPr>
                  <w:tcW w:w="763" w:type="dxa"/>
                  <w:tcBorders>
                    <w:tl2br w:val="nil"/>
                    <w:tr2bl w:val="nil"/>
                  </w:tcBorders>
                  <w:vAlign w:val="center"/>
                </w:tcPr>
                <w:p w14:paraId="3DE27791">
                  <w:pPr>
                    <w:tabs>
                      <w:tab w:val="left" w:pos="420"/>
                    </w:tabs>
                    <w:spacing w:line="240" w:lineRule="atLeast"/>
                    <w:jc w:val="center"/>
                    <w:rPr>
                      <w:b/>
                      <w:bCs/>
                      <w:szCs w:val="21"/>
                    </w:rPr>
                  </w:pPr>
                  <w:r>
                    <w:rPr>
                      <w:b/>
                      <w:bCs/>
                      <w:szCs w:val="21"/>
                    </w:rPr>
                    <w:t>贮存方式</w:t>
                  </w:r>
                </w:p>
              </w:tc>
              <w:tc>
                <w:tcPr>
                  <w:tcW w:w="632" w:type="dxa"/>
                  <w:tcBorders>
                    <w:tl2br w:val="nil"/>
                    <w:tr2bl w:val="nil"/>
                  </w:tcBorders>
                  <w:vAlign w:val="center"/>
                </w:tcPr>
                <w:p w14:paraId="4B396D3E">
                  <w:pPr>
                    <w:tabs>
                      <w:tab w:val="left" w:pos="420"/>
                    </w:tabs>
                    <w:spacing w:line="240" w:lineRule="atLeast"/>
                    <w:jc w:val="center"/>
                    <w:rPr>
                      <w:b/>
                      <w:bCs/>
                      <w:szCs w:val="21"/>
                    </w:rPr>
                  </w:pPr>
                  <w:r>
                    <w:rPr>
                      <w:b/>
                      <w:bCs/>
                      <w:szCs w:val="21"/>
                    </w:rPr>
                    <w:t>贮存</w:t>
                  </w:r>
                </w:p>
                <w:p w14:paraId="15B0A52C">
                  <w:pPr>
                    <w:tabs>
                      <w:tab w:val="left" w:pos="420"/>
                    </w:tabs>
                    <w:spacing w:line="240" w:lineRule="atLeast"/>
                    <w:jc w:val="center"/>
                    <w:rPr>
                      <w:b/>
                      <w:bCs/>
                      <w:szCs w:val="21"/>
                    </w:rPr>
                  </w:pPr>
                  <w:r>
                    <w:rPr>
                      <w:b/>
                      <w:bCs/>
                      <w:szCs w:val="21"/>
                    </w:rPr>
                    <w:t>能力</w:t>
                  </w:r>
                </w:p>
              </w:tc>
              <w:tc>
                <w:tcPr>
                  <w:tcW w:w="710" w:type="dxa"/>
                  <w:tcBorders>
                    <w:tl2br w:val="nil"/>
                    <w:tr2bl w:val="nil"/>
                  </w:tcBorders>
                  <w:vAlign w:val="center"/>
                </w:tcPr>
                <w:p w14:paraId="115EBBCA">
                  <w:pPr>
                    <w:tabs>
                      <w:tab w:val="left" w:pos="420"/>
                    </w:tabs>
                    <w:spacing w:line="240" w:lineRule="atLeast"/>
                    <w:jc w:val="center"/>
                    <w:rPr>
                      <w:b/>
                      <w:bCs/>
                      <w:szCs w:val="21"/>
                    </w:rPr>
                  </w:pPr>
                  <w:r>
                    <w:rPr>
                      <w:b/>
                      <w:bCs/>
                      <w:szCs w:val="21"/>
                    </w:rPr>
                    <w:t>贮存</w:t>
                  </w:r>
                </w:p>
                <w:p w14:paraId="7B90B573">
                  <w:pPr>
                    <w:tabs>
                      <w:tab w:val="left" w:pos="420"/>
                    </w:tabs>
                    <w:spacing w:line="240" w:lineRule="atLeast"/>
                    <w:jc w:val="center"/>
                    <w:rPr>
                      <w:b/>
                      <w:bCs/>
                      <w:szCs w:val="21"/>
                    </w:rPr>
                  </w:pPr>
                  <w:r>
                    <w:rPr>
                      <w:b/>
                      <w:bCs/>
                      <w:szCs w:val="21"/>
                    </w:rPr>
                    <w:t>周期</w:t>
                  </w:r>
                </w:p>
              </w:tc>
            </w:tr>
            <w:tr w14:paraId="63FE7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50" w:type="dxa"/>
                  <w:vMerge w:val="restart"/>
                  <w:tcBorders>
                    <w:tl2br w:val="nil"/>
                    <w:tr2bl w:val="nil"/>
                  </w:tcBorders>
                  <w:vAlign w:val="center"/>
                </w:tcPr>
                <w:p w14:paraId="65A6E389">
                  <w:pPr>
                    <w:pStyle w:val="38"/>
                    <w:rPr>
                      <w:rFonts w:hint="eastAsia" w:eastAsia="宋体"/>
                      <w:lang w:eastAsia="zh-CN"/>
                    </w:rPr>
                  </w:pPr>
                  <w:r>
                    <w:rPr>
                      <w:rFonts w:hint="eastAsia"/>
                      <w:lang w:eastAsia="zh-CN"/>
                    </w:rPr>
                    <w:t>宁都县青塘镇污水处理厂工程</w:t>
                  </w:r>
                </w:p>
              </w:tc>
              <w:tc>
                <w:tcPr>
                  <w:tcW w:w="984" w:type="dxa"/>
                  <w:vMerge w:val="restart"/>
                  <w:tcBorders>
                    <w:tl2br w:val="nil"/>
                    <w:tr2bl w:val="nil"/>
                  </w:tcBorders>
                  <w:vAlign w:val="center"/>
                </w:tcPr>
                <w:p w14:paraId="1F87F06C">
                  <w:pPr>
                    <w:tabs>
                      <w:tab w:val="left" w:pos="420"/>
                    </w:tabs>
                    <w:spacing w:line="240" w:lineRule="atLeast"/>
                    <w:jc w:val="center"/>
                    <w:rPr>
                      <w:szCs w:val="21"/>
                    </w:rPr>
                  </w:pPr>
                  <w:r>
                    <w:rPr>
                      <w:rFonts w:hint="eastAsia" w:eastAsiaTheme="minorEastAsia"/>
                      <w:szCs w:val="21"/>
                    </w:rPr>
                    <w:t>危险废物暂存间</w:t>
                  </w:r>
                </w:p>
              </w:tc>
              <w:tc>
                <w:tcPr>
                  <w:tcW w:w="1567" w:type="dxa"/>
                  <w:tcBorders>
                    <w:tl2br w:val="nil"/>
                    <w:tr2bl w:val="nil"/>
                  </w:tcBorders>
                  <w:vAlign w:val="center"/>
                </w:tcPr>
                <w:p w14:paraId="1FC674D4">
                  <w:pPr>
                    <w:pStyle w:val="38"/>
                  </w:pPr>
                  <w:r>
                    <w:rPr>
                      <w:rFonts w:hint="eastAsia"/>
                    </w:rPr>
                    <w:t>实验室废液、废药剂、在线监测废液、废试剂瓶</w:t>
                  </w:r>
                </w:p>
              </w:tc>
              <w:tc>
                <w:tcPr>
                  <w:tcW w:w="776" w:type="dxa"/>
                  <w:tcBorders>
                    <w:tl2br w:val="nil"/>
                    <w:tr2bl w:val="nil"/>
                  </w:tcBorders>
                  <w:vAlign w:val="center"/>
                </w:tcPr>
                <w:p w14:paraId="2AE75125">
                  <w:pPr>
                    <w:pStyle w:val="38"/>
                  </w:pPr>
                  <w:r>
                    <w:rPr>
                      <w:rFonts w:hint="eastAsia"/>
                    </w:rPr>
                    <w:t>HW49</w:t>
                  </w:r>
                </w:p>
              </w:tc>
              <w:tc>
                <w:tcPr>
                  <w:tcW w:w="1196" w:type="dxa"/>
                  <w:tcBorders>
                    <w:tl2br w:val="nil"/>
                    <w:tr2bl w:val="nil"/>
                  </w:tcBorders>
                  <w:vAlign w:val="center"/>
                </w:tcPr>
                <w:p w14:paraId="4924F8EC">
                  <w:pPr>
                    <w:pStyle w:val="38"/>
                  </w:pPr>
                  <w:r>
                    <w:rPr>
                      <w:rFonts w:hint="eastAsia"/>
                    </w:rPr>
                    <w:t>900-047-49</w:t>
                  </w:r>
                </w:p>
              </w:tc>
              <w:tc>
                <w:tcPr>
                  <w:tcW w:w="571" w:type="dxa"/>
                  <w:vMerge w:val="restart"/>
                  <w:tcBorders>
                    <w:tl2br w:val="nil"/>
                    <w:tr2bl w:val="nil"/>
                  </w:tcBorders>
                  <w:vAlign w:val="center"/>
                </w:tcPr>
                <w:p w14:paraId="39FBC5FA">
                  <w:pPr>
                    <w:tabs>
                      <w:tab w:val="left" w:pos="420"/>
                    </w:tabs>
                    <w:spacing w:line="240" w:lineRule="atLeast"/>
                    <w:jc w:val="center"/>
                    <w:rPr>
                      <w:szCs w:val="21"/>
                    </w:rPr>
                  </w:pPr>
                  <w:r>
                    <w:rPr>
                      <w:rFonts w:hint="eastAsia"/>
                      <w:szCs w:val="21"/>
                    </w:rPr>
                    <w:t>厂区西侧</w:t>
                  </w:r>
                </w:p>
              </w:tc>
              <w:tc>
                <w:tcPr>
                  <w:tcW w:w="667" w:type="dxa"/>
                  <w:vMerge w:val="restart"/>
                  <w:tcBorders>
                    <w:tl2br w:val="nil"/>
                    <w:tr2bl w:val="nil"/>
                  </w:tcBorders>
                  <w:vAlign w:val="center"/>
                </w:tcPr>
                <w:p w14:paraId="24C8BA4F">
                  <w:pPr>
                    <w:tabs>
                      <w:tab w:val="left" w:pos="420"/>
                    </w:tabs>
                    <w:spacing w:line="240" w:lineRule="atLeast"/>
                    <w:jc w:val="center"/>
                    <w:rPr>
                      <w:szCs w:val="21"/>
                    </w:rPr>
                  </w:pPr>
                  <w:r>
                    <w:rPr>
                      <w:rFonts w:hint="eastAsia"/>
                      <w:szCs w:val="21"/>
                      <w:lang w:val="en-US" w:eastAsia="zh-CN"/>
                    </w:rPr>
                    <w:t>1</w:t>
                  </w:r>
                  <w:r>
                    <w:t>m</w:t>
                  </w:r>
                  <w:r>
                    <w:rPr>
                      <w:vertAlign w:val="superscript"/>
                    </w:rPr>
                    <w:t>2</w:t>
                  </w:r>
                </w:p>
              </w:tc>
              <w:tc>
                <w:tcPr>
                  <w:tcW w:w="763" w:type="dxa"/>
                  <w:vMerge w:val="restart"/>
                  <w:tcBorders>
                    <w:tl2br w:val="nil"/>
                    <w:tr2bl w:val="nil"/>
                  </w:tcBorders>
                  <w:vAlign w:val="center"/>
                </w:tcPr>
                <w:p w14:paraId="30307B06">
                  <w:pPr>
                    <w:tabs>
                      <w:tab w:val="left" w:pos="420"/>
                    </w:tabs>
                    <w:spacing w:line="240" w:lineRule="atLeast"/>
                    <w:jc w:val="center"/>
                    <w:rPr>
                      <w:szCs w:val="21"/>
                    </w:rPr>
                  </w:pPr>
                  <w:r>
                    <w:rPr>
                      <w:rFonts w:hint="eastAsia"/>
                      <w:szCs w:val="21"/>
                    </w:rPr>
                    <w:t>分区存放、袋装、桶装</w:t>
                  </w:r>
                </w:p>
              </w:tc>
              <w:tc>
                <w:tcPr>
                  <w:tcW w:w="632" w:type="dxa"/>
                  <w:vMerge w:val="restart"/>
                  <w:tcBorders>
                    <w:tl2br w:val="nil"/>
                    <w:tr2bl w:val="nil"/>
                  </w:tcBorders>
                  <w:vAlign w:val="center"/>
                </w:tcPr>
                <w:p w14:paraId="4B064626">
                  <w:pPr>
                    <w:tabs>
                      <w:tab w:val="left" w:pos="420"/>
                    </w:tabs>
                    <w:spacing w:line="240" w:lineRule="atLeast"/>
                    <w:jc w:val="center"/>
                    <w:rPr>
                      <w:szCs w:val="21"/>
                    </w:rPr>
                  </w:pPr>
                  <w:r>
                    <w:rPr>
                      <w:rFonts w:hint="eastAsia"/>
                      <w:szCs w:val="21"/>
                    </w:rPr>
                    <w:t>3</w:t>
                  </w:r>
                  <w:r>
                    <w:rPr>
                      <w:szCs w:val="21"/>
                    </w:rPr>
                    <w:t>t</w:t>
                  </w:r>
                </w:p>
              </w:tc>
              <w:tc>
                <w:tcPr>
                  <w:tcW w:w="710" w:type="dxa"/>
                  <w:vMerge w:val="restart"/>
                  <w:tcBorders>
                    <w:tl2br w:val="nil"/>
                    <w:tr2bl w:val="nil"/>
                  </w:tcBorders>
                  <w:vAlign w:val="center"/>
                </w:tcPr>
                <w:p w14:paraId="45A0B6E8">
                  <w:pPr>
                    <w:tabs>
                      <w:tab w:val="left" w:pos="420"/>
                    </w:tabs>
                    <w:spacing w:line="240" w:lineRule="atLeast"/>
                    <w:jc w:val="center"/>
                    <w:rPr>
                      <w:szCs w:val="21"/>
                    </w:rPr>
                  </w:pPr>
                  <w:r>
                    <w:rPr>
                      <w:rFonts w:hint="eastAsia"/>
                      <w:szCs w:val="21"/>
                    </w:rPr>
                    <w:t>季度</w:t>
                  </w:r>
                </w:p>
              </w:tc>
            </w:tr>
            <w:tr w14:paraId="75A37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50" w:type="dxa"/>
                  <w:vMerge w:val="continue"/>
                  <w:tcBorders>
                    <w:tl2br w:val="nil"/>
                    <w:tr2bl w:val="nil"/>
                  </w:tcBorders>
                  <w:vAlign w:val="center"/>
                </w:tcPr>
                <w:p w14:paraId="62A4C576">
                  <w:pPr>
                    <w:pStyle w:val="38"/>
                  </w:pPr>
                </w:p>
              </w:tc>
              <w:tc>
                <w:tcPr>
                  <w:tcW w:w="984" w:type="dxa"/>
                  <w:vMerge w:val="continue"/>
                  <w:tcBorders>
                    <w:tl2br w:val="nil"/>
                    <w:tr2bl w:val="nil"/>
                  </w:tcBorders>
                  <w:vAlign w:val="center"/>
                </w:tcPr>
                <w:p w14:paraId="0FD215BD">
                  <w:pPr>
                    <w:tabs>
                      <w:tab w:val="left" w:pos="420"/>
                    </w:tabs>
                    <w:spacing w:line="240" w:lineRule="atLeast"/>
                    <w:jc w:val="center"/>
                    <w:rPr>
                      <w:szCs w:val="21"/>
                    </w:rPr>
                  </w:pPr>
                </w:p>
              </w:tc>
              <w:tc>
                <w:tcPr>
                  <w:tcW w:w="1567" w:type="dxa"/>
                  <w:tcBorders>
                    <w:tl2br w:val="nil"/>
                    <w:tr2bl w:val="nil"/>
                  </w:tcBorders>
                  <w:vAlign w:val="center"/>
                </w:tcPr>
                <w:p w14:paraId="3A36DC70">
                  <w:pPr>
                    <w:pStyle w:val="38"/>
                  </w:pPr>
                  <w:r>
                    <w:rPr>
                      <w:rFonts w:hint="eastAsia"/>
                    </w:rPr>
                    <w:t>废润滑油</w:t>
                  </w:r>
                </w:p>
              </w:tc>
              <w:tc>
                <w:tcPr>
                  <w:tcW w:w="776" w:type="dxa"/>
                  <w:tcBorders>
                    <w:tl2br w:val="nil"/>
                    <w:tr2bl w:val="nil"/>
                  </w:tcBorders>
                  <w:vAlign w:val="center"/>
                </w:tcPr>
                <w:p w14:paraId="465CCE5B">
                  <w:pPr>
                    <w:pStyle w:val="38"/>
                  </w:pPr>
                  <w:r>
                    <w:rPr>
                      <w:rFonts w:hint="eastAsia"/>
                    </w:rPr>
                    <w:t>HW08</w:t>
                  </w:r>
                </w:p>
              </w:tc>
              <w:tc>
                <w:tcPr>
                  <w:tcW w:w="1196" w:type="dxa"/>
                  <w:tcBorders>
                    <w:tl2br w:val="nil"/>
                    <w:tr2bl w:val="nil"/>
                  </w:tcBorders>
                  <w:vAlign w:val="center"/>
                </w:tcPr>
                <w:p w14:paraId="1AB4C937">
                  <w:pPr>
                    <w:pStyle w:val="38"/>
                  </w:pPr>
                  <w:r>
                    <w:rPr>
                      <w:rFonts w:hint="eastAsia"/>
                    </w:rPr>
                    <w:t>900-214-08</w:t>
                  </w:r>
                </w:p>
              </w:tc>
              <w:tc>
                <w:tcPr>
                  <w:tcW w:w="571" w:type="dxa"/>
                  <w:vMerge w:val="continue"/>
                  <w:tcBorders>
                    <w:tl2br w:val="nil"/>
                    <w:tr2bl w:val="nil"/>
                  </w:tcBorders>
                  <w:vAlign w:val="center"/>
                </w:tcPr>
                <w:p w14:paraId="04ED6A15">
                  <w:pPr>
                    <w:tabs>
                      <w:tab w:val="left" w:pos="420"/>
                    </w:tabs>
                    <w:spacing w:line="240" w:lineRule="atLeast"/>
                    <w:jc w:val="center"/>
                    <w:rPr>
                      <w:szCs w:val="21"/>
                    </w:rPr>
                  </w:pPr>
                </w:p>
              </w:tc>
              <w:tc>
                <w:tcPr>
                  <w:tcW w:w="667" w:type="dxa"/>
                  <w:vMerge w:val="continue"/>
                  <w:tcBorders>
                    <w:tl2br w:val="nil"/>
                    <w:tr2bl w:val="nil"/>
                  </w:tcBorders>
                  <w:vAlign w:val="center"/>
                </w:tcPr>
                <w:p w14:paraId="26ED3B19">
                  <w:pPr>
                    <w:tabs>
                      <w:tab w:val="left" w:pos="420"/>
                    </w:tabs>
                    <w:spacing w:line="240" w:lineRule="atLeast"/>
                    <w:jc w:val="center"/>
                    <w:rPr>
                      <w:szCs w:val="21"/>
                    </w:rPr>
                  </w:pPr>
                </w:p>
              </w:tc>
              <w:tc>
                <w:tcPr>
                  <w:tcW w:w="763" w:type="dxa"/>
                  <w:vMerge w:val="continue"/>
                  <w:tcBorders>
                    <w:tl2br w:val="nil"/>
                    <w:tr2bl w:val="nil"/>
                  </w:tcBorders>
                  <w:vAlign w:val="center"/>
                </w:tcPr>
                <w:p w14:paraId="580DAEF6">
                  <w:pPr>
                    <w:tabs>
                      <w:tab w:val="left" w:pos="420"/>
                    </w:tabs>
                    <w:spacing w:line="240" w:lineRule="atLeast"/>
                    <w:jc w:val="center"/>
                    <w:rPr>
                      <w:szCs w:val="21"/>
                    </w:rPr>
                  </w:pPr>
                </w:p>
              </w:tc>
              <w:tc>
                <w:tcPr>
                  <w:tcW w:w="632" w:type="dxa"/>
                  <w:vMerge w:val="continue"/>
                  <w:tcBorders>
                    <w:tl2br w:val="nil"/>
                    <w:tr2bl w:val="nil"/>
                  </w:tcBorders>
                  <w:vAlign w:val="center"/>
                </w:tcPr>
                <w:p w14:paraId="610A51C7">
                  <w:pPr>
                    <w:tabs>
                      <w:tab w:val="left" w:pos="420"/>
                    </w:tabs>
                    <w:spacing w:line="240" w:lineRule="atLeast"/>
                    <w:jc w:val="center"/>
                    <w:rPr>
                      <w:szCs w:val="21"/>
                    </w:rPr>
                  </w:pPr>
                </w:p>
              </w:tc>
              <w:tc>
                <w:tcPr>
                  <w:tcW w:w="710" w:type="dxa"/>
                  <w:vMerge w:val="continue"/>
                  <w:tcBorders>
                    <w:tl2br w:val="nil"/>
                    <w:tr2bl w:val="nil"/>
                  </w:tcBorders>
                  <w:vAlign w:val="center"/>
                </w:tcPr>
                <w:p w14:paraId="50BE7999">
                  <w:pPr>
                    <w:tabs>
                      <w:tab w:val="left" w:pos="420"/>
                    </w:tabs>
                    <w:spacing w:line="240" w:lineRule="atLeast"/>
                    <w:jc w:val="center"/>
                    <w:rPr>
                      <w:szCs w:val="21"/>
                    </w:rPr>
                  </w:pPr>
                </w:p>
              </w:tc>
            </w:tr>
            <w:tr w14:paraId="06AA0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50" w:type="dxa"/>
                  <w:vMerge w:val="continue"/>
                  <w:tcBorders>
                    <w:tl2br w:val="nil"/>
                    <w:tr2bl w:val="nil"/>
                  </w:tcBorders>
                  <w:vAlign w:val="center"/>
                </w:tcPr>
                <w:p w14:paraId="6F99CA37">
                  <w:pPr>
                    <w:pStyle w:val="38"/>
                  </w:pPr>
                </w:p>
              </w:tc>
              <w:tc>
                <w:tcPr>
                  <w:tcW w:w="984" w:type="dxa"/>
                  <w:vMerge w:val="continue"/>
                  <w:tcBorders>
                    <w:tl2br w:val="nil"/>
                    <w:tr2bl w:val="nil"/>
                  </w:tcBorders>
                  <w:vAlign w:val="center"/>
                </w:tcPr>
                <w:p w14:paraId="4B56807E">
                  <w:pPr>
                    <w:tabs>
                      <w:tab w:val="left" w:pos="420"/>
                    </w:tabs>
                    <w:spacing w:line="240" w:lineRule="atLeast"/>
                    <w:jc w:val="center"/>
                    <w:rPr>
                      <w:szCs w:val="21"/>
                    </w:rPr>
                  </w:pPr>
                </w:p>
              </w:tc>
              <w:tc>
                <w:tcPr>
                  <w:tcW w:w="1567" w:type="dxa"/>
                  <w:tcBorders>
                    <w:tl2br w:val="nil"/>
                    <w:tr2bl w:val="nil"/>
                  </w:tcBorders>
                  <w:vAlign w:val="center"/>
                </w:tcPr>
                <w:p w14:paraId="1A0525E8">
                  <w:pPr>
                    <w:pStyle w:val="38"/>
                  </w:pPr>
                  <w:r>
                    <w:rPr>
                      <w:rFonts w:hint="eastAsia"/>
                    </w:rPr>
                    <w:t>废润滑油桶</w:t>
                  </w:r>
                </w:p>
              </w:tc>
              <w:tc>
                <w:tcPr>
                  <w:tcW w:w="776" w:type="dxa"/>
                  <w:tcBorders>
                    <w:tl2br w:val="nil"/>
                    <w:tr2bl w:val="nil"/>
                  </w:tcBorders>
                  <w:vAlign w:val="center"/>
                </w:tcPr>
                <w:p w14:paraId="2047E2CF">
                  <w:pPr>
                    <w:pStyle w:val="38"/>
                  </w:pPr>
                  <w:r>
                    <w:rPr>
                      <w:rFonts w:hint="eastAsia"/>
                    </w:rPr>
                    <w:t>HW08</w:t>
                  </w:r>
                </w:p>
              </w:tc>
              <w:tc>
                <w:tcPr>
                  <w:tcW w:w="1196" w:type="dxa"/>
                  <w:tcBorders>
                    <w:tl2br w:val="nil"/>
                    <w:tr2bl w:val="nil"/>
                  </w:tcBorders>
                  <w:vAlign w:val="center"/>
                </w:tcPr>
                <w:p w14:paraId="607422C3">
                  <w:pPr>
                    <w:pStyle w:val="38"/>
                  </w:pPr>
                  <w:r>
                    <w:rPr>
                      <w:rFonts w:hint="eastAsia"/>
                    </w:rPr>
                    <w:t>900-249-08</w:t>
                  </w:r>
                </w:p>
              </w:tc>
              <w:tc>
                <w:tcPr>
                  <w:tcW w:w="571" w:type="dxa"/>
                  <w:vMerge w:val="continue"/>
                  <w:tcBorders>
                    <w:tl2br w:val="nil"/>
                    <w:tr2bl w:val="nil"/>
                  </w:tcBorders>
                  <w:vAlign w:val="center"/>
                </w:tcPr>
                <w:p w14:paraId="7CA91421">
                  <w:pPr>
                    <w:tabs>
                      <w:tab w:val="left" w:pos="420"/>
                    </w:tabs>
                    <w:spacing w:line="240" w:lineRule="atLeast"/>
                    <w:jc w:val="center"/>
                    <w:rPr>
                      <w:szCs w:val="21"/>
                    </w:rPr>
                  </w:pPr>
                </w:p>
              </w:tc>
              <w:tc>
                <w:tcPr>
                  <w:tcW w:w="667" w:type="dxa"/>
                  <w:vMerge w:val="continue"/>
                  <w:tcBorders>
                    <w:tl2br w:val="nil"/>
                    <w:tr2bl w:val="nil"/>
                  </w:tcBorders>
                  <w:vAlign w:val="center"/>
                </w:tcPr>
                <w:p w14:paraId="0A232BEE">
                  <w:pPr>
                    <w:tabs>
                      <w:tab w:val="left" w:pos="420"/>
                    </w:tabs>
                    <w:spacing w:line="240" w:lineRule="atLeast"/>
                    <w:jc w:val="center"/>
                    <w:rPr>
                      <w:szCs w:val="21"/>
                    </w:rPr>
                  </w:pPr>
                </w:p>
              </w:tc>
              <w:tc>
                <w:tcPr>
                  <w:tcW w:w="763" w:type="dxa"/>
                  <w:vMerge w:val="continue"/>
                  <w:tcBorders>
                    <w:tl2br w:val="nil"/>
                    <w:tr2bl w:val="nil"/>
                  </w:tcBorders>
                  <w:vAlign w:val="center"/>
                </w:tcPr>
                <w:p w14:paraId="5E8E852C">
                  <w:pPr>
                    <w:tabs>
                      <w:tab w:val="left" w:pos="420"/>
                    </w:tabs>
                    <w:spacing w:line="240" w:lineRule="atLeast"/>
                    <w:jc w:val="center"/>
                    <w:rPr>
                      <w:szCs w:val="21"/>
                    </w:rPr>
                  </w:pPr>
                </w:p>
              </w:tc>
              <w:tc>
                <w:tcPr>
                  <w:tcW w:w="632" w:type="dxa"/>
                  <w:vMerge w:val="continue"/>
                  <w:tcBorders>
                    <w:tl2br w:val="nil"/>
                    <w:tr2bl w:val="nil"/>
                  </w:tcBorders>
                  <w:vAlign w:val="center"/>
                </w:tcPr>
                <w:p w14:paraId="5C9A7A02">
                  <w:pPr>
                    <w:tabs>
                      <w:tab w:val="left" w:pos="420"/>
                    </w:tabs>
                    <w:spacing w:line="240" w:lineRule="atLeast"/>
                    <w:jc w:val="center"/>
                    <w:rPr>
                      <w:szCs w:val="21"/>
                    </w:rPr>
                  </w:pPr>
                </w:p>
              </w:tc>
              <w:tc>
                <w:tcPr>
                  <w:tcW w:w="710" w:type="dxa"/>
                  <w:vMerge w:val="continue"/>
                  <w:tcBorders>
                    <w:tl2br w:val="nil"/>
                    <w:tr2bl w:val="nil"/>
                  </w:tcBorders>
                  <w:vAlign w:val="center"/>
                </w:tcPr>
                <w:p w14:paraId="6F0DDF54">
                  <w:pPr>
                    <w:tabs>
                      <w:tab w:val="left" w:pos="420"/>
                    </w:tabs>
                    <w:spacing w:line="240" w:lineRule="atLeast"/>
                    <w:jc w:val="center"/>
                    <w:rPr>
                      <w:szCs w:val="21"/>
                    </w:rPr>
                  </w:pPr>
                </w:p>
              </w:tc>
            </w:tr>
            <w:tr w14:paraId="368E8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50" w:type="dxa"/>
                  <w:vMerge w:val="continue"/>
                  <w:tcBorders>
                    <w:tl2br w:val="nil"/>
                    <w:tr2bl w:val="nil"/>
                  </w:tcBorders>
                  <w:vAlign w:val="center"/>
                </w:tcPr>
                <w:p w14:paraId="674BA40B">
                  <w:pPr>
                    <w:pStyle w:val="38"/>
                  </w:pPr>
                </w:p>
              </w:tc>
              <w:tc>
                <w:tcPr>
                  <w:tcW w:w="984" w:type="dxa"/>
                  <w:vMerge w:val="continue"/>
                  <w:tcBorders>
                    <w:tl2br w:val="nil"/>
                    <w:tr2bl w:val="nil"/>
                  </w:tcBorders>
                  <w:vAlign w:val="center"/>
                </w:tcPr>
                <w:p w14:paraId="37152A1C">
                  <w:pPr>
                    <w:tabs>
                      <w:tab w:val="left" w:pos="420"/>
                    </w:tabs>
                    <w:spacing w:line="240" w:lineRule="atLeast"/>
                    <w:jc w:val="center"/>
                    <w:rPr>
                      <w:szCs w:val="21"/>
                    </w:rPr>
                  </w:pPr>
                </w:p>
              </w:tc>
              <w:tc>
                <w:tcPr>
                  <w:tcW w:w="1567" w:type="dxa"/>
                  <w:tcBorders>
                    <w:tl2br w:val="nil"/>
                    <w:tr2bl w:val="nil"/>
                  </w:tcBorders>
                  <w:vAlign w:val="center"/>
                </w:tcPr>
                <w:p w14:paraId="342F18E0">
                  <w:pPr>
                    <w:pStyle w:val="38"/>
                  </w:pPr>
                  <w:r>
                    <w:rPr>
                      <w:rFonts w:hint="eastAsia"/>
                    </w:rPr>
                    <w:t>废含油抹布和手套</w:t>
                  </w:r>
                </w:p>
              </w:tc>
              <w:tc>
                <w:tcPr>
                  <w:tcW w:w="776" w:type="dxa"/>
                  <w:tcBorders>
                    <w:tl2br w:val="nil"/>
                    <w:tr2bl w:val="nil"/>
                  </w:tcBorders>
                  <w:vAlign w:val="center"/>
                </w:tcPr>
                <w:p w14:paraId="13852D5C">
                  <w:pPr>
                    <w:pStyle w:val="38"/>
                  </w:pPr>
                  <w:r>
                    <w:rPr>
                      <w:rFonts w:hint="eastAsia"/>
                    </w:rPr>
                    <w:t>HW49</w:t>
                  </w:r>
                </w:p>
              </w:tc>
              <w:tc>
                <w:tcPr>
                  <w:tcW w:w="1196" w:type="dxa"/>
                  <w:tcBorders>
                    <w:tl2br w:val="nil"/>
                    <w:tr2bl w:val="nil"/>
                  </w:tcBorders>
                  <w:vAlign w:val="center"/>
                </w:tcPr>
                <w:p w14:paraId="64D10F4A">
                  <w:pPr>
                    <w:pStyle w:val="38"/>
                  </w:pPr>
                  <w:r>
                    <w:rPr>
                      <w:rFonts w:hint="eastAsia"/>
                    </w:rPr>
                    <w:t>900-041-49</w:t>
                  </w:r>
                </w:p>
              </w:tc>
              <w:tc>
                <w:tcPr>
                  <w:tcW w:w="571" w:type="dxa"/>
                  <w:vMerge w:val="continue"/>
                  <w:tcBorders>
                    <w:tl2br w:val="nil"/>
                    <w:tr2bl w:val="nil"/>
                  </w:tcBorders>
                  <w:vAlign w:val="center"/>
                </w:tcPr>
                <w:p w14:paraId="528E2609">
                  <w:pPr>
                    <w:tabs>
                      <w:tab w:val="left" w:pos="420"/>
                    </w:tabs>
                    <w:spacing w:line="240" w:lineRule="atLeast"/>
                    <w:jc w:val="center"/>
                    <w:rPr>
                      <w:szCs w:val="21"/>
                    </w:rPr>
                  </w:pPr>
                </w:p>
              </w:tc>
              <w:tc>
                <w:tcPr>
                  <w:tcW w:w="667" w:type="dxa"/>
                  <w:vMerge w:val="continue"/>
                  <w:tcBorders>
                    <w:tl2br w:val="nil"/>
                    <w:tr2bl w:val="nil"/>
                  </w:tcBorders>
                  <w:vAlign w:val="center"/>
                </w:tcPr>
                <w:p w14:paraId="3D64C909">
                  <w:pPr>
                    <w:tabs>
                      <w:tab w:val="left" w:pos="420"/>
                    </w:tabs>
                    <w:spacing w:line="240" w:lineRule="atLeast"/>
                    <w:jc w:val="center"/>
                    <w:rPr>
                      <w:szCs w:val="21"/>
                    </w:rPr>
                  </w:pPr>
                </w:p>
              </w:tc>
              <w:tc>
                <w:tcPr>
                  <w:tcW w:w="763" w:type="dxa"/>
                  <w:vMerge w:val="continue"/>
                  <w:tcBorders>
                    <w:tl2br w:val="nil"/>
                    <w:tr2bl w:val="nil"/>
                  </w:tcBorders>
                  <w:vAlign w:val="center"/>
                </w:tcPr>
                <w:p w14:paraId="489F651F">
                  <w:pPr>
                    <w:tabs>
                      <w:tab w:val="left" w:pos="420"/>
                    </w:tabs>
                    <w:spacing w:line="240" w:lineRule="atLeast"/>
                    <w:jc w:val="center"/>
                    <w:rPr>
                      <w:szCs w:val="21"/>
                    </w:rPr>
                  </w:pPr>
                </w:p>
              </w:tc>
              <w:tc>
                <w:tcPr>
                  <w:tcW w:w="632" w:type="dxa"/>
                  <w:vMerge w:val="continue"/>
                  <w:tcBorders>
                    <w:tl2br w:val="nil"/>
                    <w:tr2bl w:val="nil"/>
                  </w:tcBorders>
                  <w:vAlign w:val="center"/>
                </w:tcPr>
                <w:p w14:paraId="59C38BCA">
                  <w:pPr>
                    <w:tabs>
                      <w:tab w:val="left" w:pos="420"/>
                    </w:tabs>
                    <w:spacing w:line="240" w:lineRule="atLeast"/>
                    <w:jc w:val="center"/>
                    <w:rPr>
                      <w:szCs w:val="21"/>
                    </w:rPr>
                  </w:pPr>
                </w:p>
              </w:tc>
              <w:tc>
                <w:tcPr>
                  <w:tcW w:w="710" w:type="dxa"/>
                  <w:vMerge w:val="continue"/>
                  <w:tcBorders>
                    <w:tl2br w:val="nil"/>
                    <w:tr2bl w:val="nil"/>
                  </w:tcBorders>
                  <w:vAlign w:val="center"/>
                </w:tcPr>
                <w:p w14:paraId="2C821E09">
                  <w:pPr>
                    <w:tabs>
                      <w:tab w:val="left" w:pos="420"/>
                    </w:tabs>
                    <w:spacing w:line="240" w:lineRule="atLeast"/>
                    <w:jc w:val="center"/>
                    <w:rPr>
                      <w:szCs w:val="21"/>
                    </w:rPr>
                  </w:pPr>
                </w:p>
              </w:tc>
            </w:tr>
          </w:tbl>
          <w:p w14:paraId="614F3B33">
            <w:pPr>
              <w:pStyle w:val="42"/>
              <w:spacing w:before="120" w:beforeLines="50"/>
              <w:ind w:firstLine="482"/>
              <w:jc w:val="left"/>
              <w:rPr>
                <w:b/>
                <w:bCs/>
              </w:rPr>
            </w:pPr>
            <w:r>
              <w:rPr>
                <w:rFonts w:hint="eastAsia"/>
                <w:b/>
                <w:bCs/>
              </w:rPr>
              <w:t>3、项目固体废物环境管理要求</w:t>
            </w:r>
          </w:p>
          <w:p w14:paraId="76E7257C">
            <w:pPr>
              <w:spacing w:line="360" w:lineRule="auto"/>
              <w:ind w:firstLine="480" w:firstLineChars="200"/>
              <w:rPr>
                <w:sz w:val="24"/>
              </w:rPr>
            </w:pPr>
            <w:r>
              <w:rPr>
                <w:rFonts w:hint="eastAsia"/>
                <w:sz w:val="24"/>
              </w:rPr>
              <w:t>为了减小废弃物的储运风险，防止固废流失污染环境，企业还将采取以下固废管理措施：</w:t>
            </w:r>
          </w:p>
          <w:p w14:paraId="27F30759">
            <w:pPr>
              <w:spacing w:line="360" w:lineRule="auto"/>
              <w:ind w:firstLine="482" w:firstLineChars="200"/>
              <w:rPr>
                <w:b/>
                <w:bCs/>
                <w:sz w:val="24"/>
              </w:rPr>
            </w:pPr>
            <w:r>
              <w:rPr>
                <w:rFonts w:hint="eastAsia"/>
                <w:b/>
                <w:bCs/>
                <w:sz w:val="24"/>
              </w:rPr>
              <w:t>一般固废管理要求：</w:t>
            </w:r>
          </w:p>
          <w:p w14:paraId="580710A1">
            <w:pPr>
              <w:spacing w:line="360" w:lineRule="auto"/>
              <w:ind w:firstLine="480" w:firstLineChars="200"/>
              <w:rPr>
                <w:sz w:val="24"/>
              </w:rPr>
            </w:pPr>
            <w:r>
              <w:rPr>
                <w:rFonts w:hint="eastAsia"/>
                <w:sz w:val="24"/>
              </w:rPr>
              <w:t>建设项目需强化废物产生、收集、贮运各环节的管理，杜绝固废在厂区内的散失、渗漏。做好固体废物在厂区内的收集和储存相关防护工作，收集后进行有效处置或者回用。建立完善的规章制度，以降低固体废物散落对周围环境的影响。</w:t>
            </w:r>
          </w:p>
          <w:p w14:paraId="00548370">
            <w:pPr>
              <w:spacing w:line="360" w:lineRule="auto"/>
              <w:ind w:firstLine="482" w:firstLineChars="200"/>
              <w:rPr>
                <w:b/>
                <w:bCs/>
                <w:sz w:val="24"/>
              </w:rPr>
            </w:pPr>
            <w:r>
              <w:rPr>
                <w:rFonts w:hint="eastAsia"/>
                <w:b/>
                <w:bCs/>
                <w:sz w:val="24"/>
              </w:rPr>
              <w:t>危险固废管理要求：</w:t>
            </w:r>
          </w:p>
          <w:p w14:paraId="1E7DAF33">
            <w:pPr>
              <w:pStyle w:val="36"/>
              <w:ind w:firstLine="480"/>
              <w:rPr>
                <w:rFonts w:hint="default"/>
              </w:rPr>
            </w:pPr>
            <w:r>
              <w:t>危废暂存间设置应符合《危险废物污染防治技术政策》和《危险废物贮存污染控制标准》(GB18597-2023)要求；危险废物的临时贮存需设置专门的储存厂房，采用密闭式贮存。</w:t>
            </w:r>
          </w:p>
          <w:p w14:paraId="7CF63D6C">
            <w:pPr>
              <w:pStyle w:val="36"/>
              <w:ind w:firstLine="480"/>
              <w:rPr>
                <w:rFonts w:hint="default"/>
                <w:color w:val="000000" w:themeColor="text1"/>
                <w14:textFill>
                  <w14:solidFill>
                    <w14:schemeClr w14:val="tx1"/>
                  </w14:solidFill>
                </w14:textFill>
              </w:rPr>
            </w:pPr>
            <w:r>
              <w:t>本</w:t>
            </w:r>
            <w:r>
              <w:rPr>
                <w:color w:val="000000" w:themeColor="text1"/>
                <w14:textFill>
                  <w14:solidFill>
                    <w14:schemeClr w14:val="tx1"/>
                  </w14:solidFill>
                </w14:textFill>
              </w:rPr>
              <w:t>项目产生的危险废物在收集、贮存、转运、处置方面须采取如下措施：</w:t>
            </w:r>
          </w:p>
          <w:p w14:paraId="4D7AB017">
            <w:pPr>
              <w:pStyle w:val="36"/>
              <w:ind w:firstLine="480"/>
              <w:rPr>
                <w:rFonts w:hint="default"/>
                <w:color w:val="000000" w:themeColor="text1"/>
                <w14:textFill>
                  <w14:solidFill>
                    <w14:schemeClr w14:val="tx1"/>
                  </w14:solidFill>
                </w14:textFill>
              </w:rPr>
            </w:pPr>
            <w:r>
              <w:rPr>
                <w:color w:val="000000" w:themeColor="text1"/>
                <w14:textFill>
                  <w14:solidFill>
                    <w14:schemeClr w14:val="tx1"/>
                  </w14:solidFill>
                </w14:textFill>
              </w:rPr>
              <w:t>1、收集和贮存：厂区的危险废物收集后通过过道直接转移至危废暂存间，要求从产生节点转移至危废暂存间过程中要采取密闭措施；厂区转移过程可使用防渗漏托盘垫底，禁止集中收集、转移过程中穿插进入其他生产区域；贮存严格按照《危险废物贮存污染控制标准》(GB18597-2023)要求进行，并按照标准做好危废暂存间的防渗、防漏、防遗撒等方面的工程措施；</w:t>
            </w:r>
          </w:p>
          <w:p w14:paraId="69B52A94">
            <w:pPr>
              <w:pStyle w:val="36"/>
              <w:ind w:firstLine="480"/>
              <w:rPr>
                <w:rFonts w:hint="default"/>
              </w:rPr>
            </w:pPr>
            <w:r>
              <w:t>2、转运：危险废物转运过程中严格执行《危险废物转移联单管理办法》，防止危险废物在转移过程中污染环境；</w:t>
            </w:r>
          </w:p>
          <w:p w14:paraId="6619C20A">
            <w:pPr>
              <w:pStyle w:val="36"/>
              <w:ind w:firstLine="480"/>
              <w:rPr>
                <w:rFonts w:hint="default"/>
              </w:rPr>
            </w:pPr>
            <w:r>
              <w:t>3、处置：本项目危险废物须收集暂存于危废暂存间后交由有资质单位处置；</w:t>
            </w:r>
          </w:p>
          <w:p w14:paraId="661126E7">
            <w:pPr>
              <w:pStyle w:val="36"/>
              <w:ind w:firstLine="480"/>
              <w:rPr>
                <w:rFonts w:hint="default"/>
              </w:rPr>
            </w:pPr>
            <w:r>
              <w:t>4、设立企业固废管理台账，规范各类废物情况的记录，记录上须注明危险废物的名称、来源、数量、特性和包装容器的类别、入库日期、存放库位、废物出库日期及接收单位名称，确保厂内所有危险废物流向清楚规范。</w:t>
            </w:r>
          </w:p>
          <w:p w14:paraId="7BEE74AE">
            <w:pPr>
              <w:pStyle w:val="36"/>
              <w:ind w:firstLine="480"/>
              <w:rPr>
                <w:rFonts w:hint="default"/>
              </w:rPr>
            </w:pPr>
            <w:r>
              <w:t>综上，企业只要能严格落实各类固废暂存及处理措施，加强危废收集、转运和管理，确保固废去向明确妥当，可避免对环境造成二次污染。</w:t>
            </w:r>
          </w:p>
          <w:p w14:paraId="4B693729">
            <w:pPr>
              <w:pStyle w:val="42"/>
              <w:ind w:firstLine="482"/>
              <w:rPr>
                <w:b/>
                <w:bCs/>
              </w:rPr>
            </w:pPr>
            <w:r>
              <w:rPr>
                <w:b/>
                <w:bCs/>
              </w:rPr>
              <w:t>五、地下水及土壤影响分析</w:t>
            </w:r>
          </w:p>
          <w:p w14:paraId="26CDDE9F">
            <w:pPr>
              <w:pStyle w:val="36"/>
              <w:ind w:firstLine="482"/>
              <w:rPr>
                <w:rFonts w:hint="default"/>
                <w:b/>
                <w:bCs/>
              </w:rPr>
            </w:pPr>
            <w:r>
              <w:rPr>
                <w:b/>
                <w:bCs/>
              </w:rPr>
              <w:t>1、地下水、土壤污染源</w:t>
            </w:r>
          </w:p>
          <w:p w14:paraId="04DE5810">
            <w:pPr>
              <w:pStyle w:val="36"/>
              <w:ind w:firstLine="480"/>
              <w:rPr>
                <w:rFonts w:hint="default"/>
              </w:rPr>
            </w:pPr>
            <w:r>
              <w:t>根据对项目生产过程及污染物排放方式等进行分析，本项目可能地下水及土壤环境影响的污染源有收集的生活污水、污泥及暂存的危险废物。</w:t>
            </w:r>
          </w:p>
          <w:p w14:paraId="3F2C5755">
            <w:pPr>
              <w:pStyle w:val="36"/>
              <w:ind w:firstLine="482"/>
              <w:rPr>
                <w:rFonts w:hint="default"/>
                <w:b/>
                <w:bCs/>
              </w:rPr>
            </w:pPr>
            <w:r>
              <w:rPr>
                <w:b/>
                <w:bCs/>
              </w:rPr>
              <w:t>2、地下水、土壤污染途径</w:t>
            </w:r>
          </w:p>
          <w:p w14:paraId="1D07901E">
            <w:pPr>
              <w:pStyle w:val="36"/>
              <w:ind w:firstLine="480"/>
              <w:rPr>
                <w:rFonts w:hint="default"/>
              </w:rPr>
            </w:pPr>
            <w:r>
              <w:t>本项目对地下水及土壤产生污染的途径主要是渗透污染。渗透污染是导致地下水污染的普遍和主要方式，主要产生可能性来自：项目收集的生活污水、污泥及暂存的危险废物事故情况下泄漏渗入土壤，进而污染土壤及地下水。</w:t>
            </w:r>
          </w:p>
          <w:p w14:paraId="58AB28B9">
            <w:pPr>
              <w:pStyle w:val="36"/>
              <w:ind w:firstLine="482"/>
              <w:rPr>
                <w:rFonts w:hint="default"/>
                <w:b/>
                <w:bCs/>
              </w:rPr>
            </w:pPr>
            <w:r>
              <w:rPr>
                <w:b/>
                <w:bCs/>
              </w:rPr>
              <w:t>3、影响分析</w:t>
            </w:r>
          </w:p>
          <w:p w14:paraId="49AB6B50">
            <w:pPr>
              <w:pStyle w:val="36"/>
              <w:ind w:firstLine="480"/>
              <w:rPr>
                <w:rFonts w:hint="default"/>
              </w:rPr>
            </w:pPr>
            <w:r>
              <w:t>项目用水均来自市政供水管网，不进行地下水的开采，不会造成因取用地下水而引起的环境水文地质问题，项目所在厂房地面将按照相关要求做好防渗漏措施，各构筑物均为砼结构或钢结构，正常情况运营期整个过程基本上可以杜绝污水及固体废物等接触土壤或渗入地下水；危险废物产生量较少，并按要求设置有危废暂存间储存，与地面土壤不接触，以上风险物质发生泄漏风险较小；综上所述，正常情况下本项目运营对土壤及地下水环境不会造成影响；</w:t>
            </w:r>
          </w:p>
          <w:p w14:paraId="3B14CA98">
            <w:pPr>
              <w:pStyle w:val="119"/>
              <w:ind w:firstLine="482"/>
              <w:rPr>
                <w:b/>
                <w:bCs/>
              </w:rPr>
            </w:pPr>
            <w:r>
              <w:rPr>
                <w:rFonts w:hint="eastAsia"/>
                <w:b/>
                <w:bCs/>
              </w:rPr>
              <w:t>4</w:t>
            </w:r>
            <w:r>
              <w:rPr>
                <w:b/>
                <w:bCs/>
              </w:rPr>
              <w:t>、</w:t>
            </w:r>
            <w:r>
              <w:rPr>
                <w:rFonts w:hint="eastAsia"/>
                <w:b/>
                <w:bCs/>
              </w:rPr>
              <w:t>地下水、土壤污染防治措施</w:t>
            </w:r>
          </w:p>
          <w:p w14:paraId="7BF14F73">
            <w:pPr>
              <w:pStyle w:val="64"/>
              <w:ind w:firstLine="480"/>
            </w:pPr>
            <w:r>
              <w:rPr>
                <w:rFonts w:hint="eastAsia"/>
              </w:rPr>
              <w:t>针对本工程可能造成的地下水、土壤污染，地下水、土壤污染防治措施按照“源头控制、分区防治、跟踪监测和污染监控、应急响应”相结合的原则，从污染物的产生、入渗、扩散、应急响应全方位进行防控。</w:t>
            </w:r>
          </w:p>
          <w:p w14:paraId="378D0E90">
            <w:pPr>
              <w:pStyle w:val="64"/>
              <w:ind w:firstLine="480"/>
            </w:pPr>
            <w:r>
              <w:rPr>
                <w:rFonts w:hint="eastAsia"/>
              </w:rPr>
              <w:t>对厂区可能泄漏污染物的污染区地面应进行防渗处理，并及时地将泄漏/渗漏的污染物收集起来进行处理，可有效防止污染物渗入地下。</w:t>
            </w:r>
          </w:p>
          <w:p w14:paraId="759F6565">
            <w:pPr>
              <w:pStyle w:val="64"/>
              <w:ind w:firstLine="482"/>
              <w:rPr>
                <w:b/>
                <w:bCs/>
              </w:rPr>
            </w:pPr>
            <w:r>
              <w:rPr>
                <w:rFonts w:hint="eastAsia"/>
                <w:b/>
                <w:bCs/>
              </w:rPr>
              <w:t>（1）源头控制措施</w:t>
            </w:r>
          </w:p>
          <w:p w14:paraId="63F39E2C">
            <w:pPr>
              <w:pStyle w:val="64"/>
              <w:ind w:firstLine="480"/>
            </w:pPr>
            <w:r>
              <w:rPr>
                <w:rFonts w:hint="eastAsia"/>
              </w:rPr>
              <w:t>为保护地下水、土壤环境，采取防控措施从源头控制对地下水、土壤的污染。从设计、管理各种工艺设备和物料运输管线上，防止和减少污染物的跑冒滴漏，合理布局，减少污染物的泄漏途径。项目源头控制措施具体包括：</w:t>
            </w:r>
          </w:p>
          <w:p w14:paraId="33BCA7F0">
            <w:pPr>
              <w:pStyle w:val="64"/>
              <w:ind w:firstLine="480"/>
            </w:pPr>
            <w:r>
              <w:rPr>
                <w:rFonts w:hint="eastAsia"/>
              </w:rPr>
              <w:t>①对危废暂存做好合理分区设计。做好危险废物包装桶/袋进入仓库前的检查工作，有质量问题的及时更换，防止存在破损和“跑、冒、滴”现象。</w:t>
            </w:r>
          </w:p>
          <w:p w14:paraId="73E84121">
            <w:pPr>
              <w:pStyle w:val="64"/>
              <w:ind w:firstLine="482"/>
              <w:rPr>
                <w:b/>
                <w:bCs/>
              </w:rPr>
            </w:pPr>
            <w:r>
              <w:rPr>
                <w:rFonts w:hint="eastAsia"/>
                <w:b/>
                <w:bCs/>
              </w:rPr>
              <w:t>（2）过程防控措施</w:t>
            </w:r>
          </w:p>
          <w:p w14:paraId="3AFE70E6">
            <w:pPr>
              <w:pStyle w:val="36"/>
              <w:ind w:firstLine="480"/>
              <w:rPr>
                <w:rFonts w:hint="default"/>
              </w:rPr>
            </w:pPr>
            <w:r>
              <w:t>分区防渗要求：I、地面防渗应采用国际/国内先进的防渗材料、技术和实施手段，确保防渗工程实施符合要求，防渗等级达标；II、坚持分区管理和控制原则，根据厂址所在地的工程性质，水文地质条件和全厂可能发生泄漏的物料性质、排放量，参照相应标准要求有针对性地进行分区，并分别设计地面防渗层结构；</w:t>
            </w:r>
          </w:p>
          <w:p w14:paraId="7FBF96F5">
            <w:pPr>
              <w:pStyle w:val="64"/>
              <w:ind w:firstLine="480"/>
            </w:pPr>
            <w:r>
              <w:rPr>
                <w:rFonts w:hint="eastAsia"/>
              </w:rPr>
              <w:t>根据本工程的特点，将厂区不同的区域划分为重点防渗区、一般防渗区、简单防渗区。</w:t>
            </w:r>
          </w:p>
          <w:p w14:paraId="3112F739">
            <w:pPr>
              <w:pStyle w:val="36"/>
              <w:ind w:firstLine="480"/>
              <w:rPr>
                <w:rFonts w:hint="default"/>
              </w:rPr>
            </w:pPr>
            <w:r>
              <w:t>按照《危险废物贮存污染控制标准》(GB18597-2023)及《环境影响评价技术导则地下水环境》(HJ610-2016)中相关规定提出本项目分区防渗技术要求如下：</w:t>
            </w:r>
          </w:p>
          <w:p w14:paraId="24B3F13A">
            <w:pPr>
              <w:pStyle w:val="36"/>
              <w:ind w:firstLine="480"/>
              <w:rPr>
                <w:rFonts w:hint="default"/>
              </w:rPr>
            </w:pPr>
            <w:r>
              <w:t>I、重点防渗区</w:t>
            </w:r>
          </w:p>
          <w:p w14:paraId="661E263B">
            <w:pPr>
              <w:pStyle w:val="36"/>
              <w:ind w:firstLine="480"/>
              <w:rPr>
                <w:rFonts w:hint="default"/>
              </w:rPr>
            </w:pPr>
            <w:r>
              <w:t>指污染地下水环境的物料长期储存或泄漏不容易及时发现或处理的区域，且建(构)筑物基础之下场地水文地质条件相对较差的区域。项目的重点防渗区基础必须防渗，防渗层为至少1m厚粘土层(渗透系数≤10</w:t>
            </w:r>
            <w:r>
              <w:rPr>
                <w:vertAlign w:val="superscript"/>
              </w:rPr>
              <w:t>-7</w:t>
            </w:r>
            <w:r>
              <w:t>cm/s)，或2mm厚高密度聚乙烯，或至少2mm厚的其他人工材料，渗透系数≤10</w:t>
            </w:r>
            <w:r>
              <w:rPr>
                <w:vertAlign w:val="superscript"/>
              </w:rPr>
              <w:t>-10</w:t>
            </w:r>
            <w:r>
              <w:t>cm/s；</w:t>
            </w:r>
          </w:p>
          <w:p w14:paraId="70548564">
            <w:pPr>
              <w:pStyle w:val="36"/>
              <w:ind w:firstLine="480"/>
              <w:rPr>
                <w:rFonts w:hint="default"/>
              </w:rPr>
            </w:pPr>
            <w:r>
              <w:t>II、一般防渗区</w:t>
            </w:r>
          </w:p>
          <w:p w14:paraId="3C05917E">
            <w:pPr>
              <w:pStyle w:val="36"/>
              <w:ind w:firstLine="480"/>
              <w:rPr>
                <w:rFonts w:hint="default"/>
              </w:rPr>
            </w:pPr>
            <w:r>
              <w:t>一般防渗区要求</w:t>
            </w:r>
            <w:r>
              <w:rPr>
                <w:rFonts w:hint="default"/>
              </w:rPr>
              <w:t>采用天然或人工材料构筑防渗层，防渗层的厚度应相当于渗透系数1.0×10</w:t>
            </w:r>
            <w:r>
              <w:rPr>
                <w:rFonts w:hint="default"/>
                <w:vertAlign w:val="superscript"/>
              </w:rPr>
              <w:t>-7</w:t>
            </w:r>
            <w:r>
              <w:rPr>
                <w:rFonts w:hint="default"/>
              </w:rPr>
              <w:t>cm/s和厚度0.75m的黏土层的防渗性能；或者参考GB16889执行</w:t>
            </w:r>
            <w:r>
              <w:t>；</w:t>
            </w:r>
          </w:p>
          <w:p w14:paraId="047FD207">
            <w:pPr>
              <w:pStyle w:val="36"/>
              <w:ind w:firstLine="480"/>
              <w:rPr>
                <w:rFonts w:hint="default"/>
              </w:rPr>
            </w:pPr>
            <w:r>
              <w:t>III、简单防渗区</w:t>
            </w:r>
          </w:p>
          <w:p w14:paraId="6CBA1189">
            <w:pPr>
              <w:pStyle w:val="36"/>
              <w:ind w:firstLine="480"/>
              <w:rPr>
                <w:rFonts w:hint="default"/>
              </w:rPr>
            </w:pPr>
            <w:r>
              <w:t>简单防渗区进行一般地面硬化即可。</w:t>
            </w:r>
          </w:p>
          <w:p w14:paraId="1167EB82">
            <w:pPr>
              <w:pStyle w:val="64"/>
              <w:ind w:firstLine="480"/>
            </w:pPr>
            <w:r>
              <w:rPr>
                <w:rFonts w:hint="eastAsia"/>
              </w:rPr>
              <w:t>项目分区防渗情况见下表。</w:t>
            </w:r>
          </w:p>
          <w:p w14:paraId="25D5B1B4">
            <w:pPr>
              <w:pStyle w:val="64"/>
              <w:ind w:firstLine="480"/>
            </w:pPr>
          </w:p>
          <w:p w14:paraId="6FD32D9B">
            <w:pPr>
              <w:pStyle w:val="64"/>
              <w:ind w:firstLine="480"/>
            </w:pPr>
          </w:p>
          <w:p w14:paraId="3442FCE0">
            <w:pPr>
              <w:pStyle w:val="64"/>
              <w:ind w:firstLine="480"/>
            </w:pPr>
          </w:p>
          <w:p w14:paraId="6A6EDD19">
            <w:pPr>
              <w:pStyle w:val="64"/>
              <w:ind w:firstLine="480"/>
            </w:pPr>
          </w:p>
          <w:p w14:paraId="53D3A665">
            <w:pPr>
              <w:pStyle w:val="52"/>
            </w:pPr>
            <w:r>
              <w:t>项目分区防渗等级一览表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181"/>
              <w:gridCol w:w="1800"/>
              <w:gridCol w:w="5164"/>
            </w:tblGrid>
            <w:tr w14:paraId="60544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71" w:type="dxa"/>
                  <w:vAlign w:val="center"/>
                </w:tcPr>
                <w:p w14:paraId="5B9BE4A2">
                  <w:pPr>
                    <w:jc w:val="center"/>
                    <w:rPr>
                      <w:b/>
                      <w:bCs/>
                      <w:szCs w:val="21"/>
                    </w:rPr>
                  </w:pPr>
                  <w:r>
                    <w:rPr>
                      <w:rFonts w:hint="eastAsia"/>
                      <w:b/>
                      <w:bCs/>
                      <w:szCs w:val="21"/>
                    </w:rPr>
                    <w:t>项目</w:t>
                  </w:r>
                </w:p>
              </w:tc>
              <w:tc>
                <w:tcPr>
                  <w:tcW w:w="1181" w:type="dxa"/>
                  <w:vAlign w:val="center"/>
                </w:tcPr>
                <w:p w14:paraId="6B0970FD">
                  <w:pPr>
                    <w:jc w:val="center"/>
                    <w:rPr>
                      <w:b/>
                      <w:bCs/>
                      <w:szCs w:val="21"/>
                    </w:rPr>
                  </w:pPr>
                  <w:r>
                    <w:rPr>
                      <w:b/>
                      <w:bCs/>
                      <w:szCs w:val="21"/>
                    </w:rPr>
                    <w:t>防渗级别</w:t>
                  </w:r>
                </w:p>
              </w:tc>
              <w:tc>
                <w:tcPr>
                  <w:tcW w:w="1800" w:type="dxa"/>
                  <w:vAlign w:val="center"/>
                </w:tcPr>
                <w:p w14:paraId="298380AE">
                  <w:pPr>
                    <w:jc w:val="center"/>
                    <w:rPr>
                      <w:b/>
                      <w:bCs/>
                      <w:szCs w:val="21"/>
                    </w:rPr>
                  </w:pPr>
                  <w:r>
                    <w:rPr>
                      <w:b/>
                      <w:bCs/>
                      <w:szCs w:val="21"/>
                    </w:rPr>
                    <w:t>工作区</w:t>
                  </w:r>
                </w:p>
              </w:tc>
              <w:tc>
                <w:tcPr>
                  <w:tcW w:w="5164" w:type="dxa"/>
                  <w:vAlign w:val="center"/>
                </w:tcPr>
                <w:p w14:paraId="10870B3C">
                  <w:pPr>
                    <w:jc w:val="center"/>
                    <w:rPr>
                      <w:b/>
                      <w:bCs/>
                      <w:szCs w:val="21"/>
                    </w:rPr>
                  </w:pPr>
                  <w:r>
                    <w:rPr>
                      <w:b/>
                      <w:bCs/>
                      <w:szCs w:val="21"/>
                    </w:rPr>
                    <w:t>防渗技术要求</w:t>
                  </w:r>
                </w:p>
              </w:tc>
            </w:tr>
            <w:tr w14:paraId="262A9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771" w:type="dxa"/>
                  <w:vMerge w:val="restart"/>
                  <w:vAlign w:val="center"/>
                </w:tcPr>
                <w:p w14:paraId="7BED4A99">
                  <w:pPr>
                    <w:pStyle w:val="38"/>
                    <w:rPr>
                      <w:rFonts w:hint="eastAsia" w:eastAsia="宋体"/>
                      <w:lang w:eastAsia="zh-CN"/>
                    </w:rPr>
                  </w:pPr>
                  <w:r>
                    <w:rPr>
                      <w:rFonts w:hint="eastAsia"/>
                      <w:lang w:eastAsia="zh-CN"/>
                    </w:rPr>
                    <w:t>宁都县青塘镇污水处理厂工程</w:t>
                  </w:r>
                </w:p>
              </w:tc>
              <w:tc>
                <w:tcPr>
                  <w:tcW w:w="1181" w:type="dxa"/>
                  <w:vAlign w:val="center"/>
                </w:tcPr>
                <w:p w14:paraId="77AAE3BA">
                  <w:pPr>
                    <w:jc w:val="center"/>
                    <w:rPr>
                      <w:szCs w:val="21"/>
                    </w:rPr>
                  </w:pPr>
                  <w:r>
                    <w:rPr>
                      <w:szCs w:val="21"/>
                    </w:rPr>
                    <w:t>重点防渗区</w:t>
                  </w:r>
                </w:p>
              </w:tc>
              <w:tc>
                <w:tcPr>
                  <w:tcW w:w="1800" w:type="dxa"/>
                  <w:vAlign w:val="center"/>
                </w:tcPr>
                <w:p w14:paraId="2937948D">
                  <w:pPr>
                    <w:jc w:val="center"/>
                    <w:rPr>
                      <w:szCs w:val="21"/>
                    </w:rPr>
                  </w:pPr>
                  <w:r>
                    <w:rPr>
                      <w:rFonts w:hint="eastAsia"/>
                      <w:szCs w:val="21"/>
                    </w:rPr>
                    <w:t>各污水处理主体构筑物、危废暂存间、污泥脱水机房</w:t>
                  </w:r>
                </w:p>
              </w:tc>
              <w:tc>
                <w:tcPr>
                  <w:tcW w:w="5164" w:type="dxa"/>
                  <w:vAlign w:val="center"/>
                </w:tcPr>
                <w:p w14:paraId="654DAC11">
                  <w:pPr>
                    <w:jc w:val="center"/>
                    <w:rPr>
                      <w:szCs w:val="21"/>
                    </w:rPr>
                  </w:pPr>
                  <w:r>
                    <w:rPr>
                      <w:szCs w:val="21"/>
                    </w:rPr>
                    <w:t>危废暂存间防渗要求依据</w:t>
                  </w:r>
                  <w:r>
                    <w:rPr>
                      <w:rFonts w:hint="eastAsia"/>
                      <w:szCs w:val="21"/>
                    </w:rPr>
                    <w:t>《危险废物贮存污染控制标准》(GB18597-2023)</w:t>
                  </w:r>
                  <w:r>
                    <w:rPr>
                      <w:szCs w:val="21"/>
                    </w:rPr>
                    <w:t>要求，</w:t>
                  </w:r>
                  <w:r>
                    <w:rPr>
                      <w:spacing w:val="-6"/>
                      <w:szCs w:val="21"/>
                    </w:rPr>
                    <w:t>地面铺设等效</w:t>
                  </w:r>
                  <w:r>
                    <w:rPr>
                      <w:rFonts w:eastAsia="Times New Roman"/>
                      <w:szCs w:val="21"/>
                    </w:rPr>
                    <w:t>2mm</w:t>
                  </w:r>
                  <w:r>
                    <w:rPr>
                      <w:spacing w:val="-3"/>
                      <w:szCs w:val="21"/>
                    </w:rPr>
                    <w:t>厚高密度聚乙烯防渗层</w:t>
                  </w:r>
                  <w:r>
                    <w:rPr>
                      <w:rFonts w:hint="eastAsia"/>
                      <w:spacing w:val="-3"/>
                      <w:szCs w:val="21"/>
                    </w:rPr>
                    <w:t>或其他人工材料</w:t>
                  </w:r>
                  <w:r>
                    <w:rPr>
                      <w:spacing w:val="-3"/>
                      <w:szCs w:val="21"/>
                    </w:rPr>
                    <w:t>，渗透系数</w:t>
                  </w:r>
                  <w:r>
                    <w:rPr>
                      <w:rFonts w:eastAsia="Times New Roman"/>
                      <w:szCs w:val="21"/>
                    </w:rPr>
                    <w:t>≤10</w:t>
                  </w:r>
                  <w:r>
                    <w:rPr>
                      <w:rFonts w:eastAsia="Times New Roman"/>
                      <w:position w:val="7"/>
                      <w:szCs w:val="21"/>
                      <w:vertAlign w:val="subscript"/>
                    </w:rPr>
                    <w:t>-</w:t>
                  </w:r>
                  <w:r>
                    <w:rPr>
                      <w:rFonts w:hint="eastAsia"/>
                      <w:position w:val="7"/>
                      <w:szCs w:val="21"/>
                      <w:vertAlign w:val="subscript"/>
                    </w:rPr>
                    <w:t>10</w:t>
                  </w:r>
                  <w:r>
                    <w:rPr>
                      <w:rFonts w:eastAsia="Times New Roman"/>
                      <w:szCs w:val="21"/>
                    </w:rPr>
                    <w:t>cm/s</w:t>
                  </w:r>
                  <w:r>
                    <w:rPr>
                      <w:szCs w:val="21"/>
                    </w:rPr>
                    <w:t>或者参考GB18598执行。</w:t>
                  </w:r>
                </w:p>
              </w:tc>
            </w:tr>
            <w:tr w14:paraId="5F048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771" w:type="dxa"/>
                  <w:vMerge w:val="continue"/>
                  <w:vAlign w:val="center"/>
                </w:tcPr>
                <w:p w14:paraId="086A49B5">
                  <w:pPr>
                    <w:jc w:val="center"/>
                    <w:rPr>
                      <w:szCs w:val="21"/>
                    </w:rPr>
                  </w:pPr>
                </w:p>
              </w:tc>
              <w:tc>
                <w:tcPr>
                  <w:tcW w:w="1181" w:type="dxa"/>
                  <w:vAlign w:val="center"/>
                </w:tcPr>
                <w:p w14:paraId="72E52E39">
                  <w:pPr>
                    <w:jc w:val="center"/>
                    <w:rPr>
                      <w:szCs w:val="21"/>
                    </w:rPr>
                  </w:pPr>
                  <w:r>
                    <w:rPr>
                      <w:rFonts w:hint="eastAsia"/>
                      <w:szCs w:val="21"/>
                    </w:rPr>
                    <w:t>一般防渗区</w:t>
                  </w:r>
                </w:p>
              </w:tc>
              <w:tc>
                <w:tcPr>
                  <w:tcW w:w="1800" w:type="dxa"/>
                  <w:vAlign w:val="center"/>
                </w:tcPr>
                <w:p w14:paraId="74266858">
                  <w:pPr>
                    <w:jc w:val="center"/>
                    <w:rPr>
                      <w:szCs w:val="21"/>
                    </w:rPr>
                  </w:pPr>
                  <w:r>
                    <w:rPr>
                      <w:rFonts w:hint="eastAsia"/>
                      <w:szCs w:val="21"/>
                    </w:rPr>
                    <w:t>一般固废暂存间、清水池</w:t>
                  </w:r>
                </w:p>
              </w:tc>
              <w:tc>
                <w:tcPr>
                  <w:tcW w:w="5164" w:type="dxa"/>
                  <w:vAlign w:val="center"/>
                </w:tcPr>
                <w:p w14:paraId="77EF4A73">
                  <w:pPr>
                    <w:jc w:val="center"/>
                    <w:rPr>
                      <w:szCs w:val="21"/>
                    </w:rPr>
                  </w:pPr>
                  <w:r>
                    <w:rPr>
                      <w:rFonts w:hint="eastAsia"/>
                      <w:szCs w:val="21"/>
                    </w:rPr>
                    <w:t>采用天然或人工材料构筑防渗层，防渗层的厚度应相当于渗透系数1.0×10</w:t>
                  </w:r>
                  <w:r>
                    <w:rPr>
                      <w:rFonts w:hint="eastAsia"/>
                      <w:szCs w:val="21"/>
                      <w:vertAlign w:val="superscript"/>
                    </w:rPr>
                    <w:t>-7</w:t>
                  </w:r>
                  <w:r>
                    <w:rPr>
                      <w:rFonts w:hint="eastAsia"/>
                      <w:szCs w:val="21"/>
                    </w:rPr>
                    <w:t>cm/s和厚度0.75m的黏土层的防渗性能；或者参考GB16889执行。</w:t>
                  </w:r>
                </w:p>
              </w:tc>
            </w:tr>
            <w:tr w14:paraId="6E10D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771" w:type="dxa"/>
                  <w:vMerge w:val="continue"/>
                  <w:vAlign w:val="center"/>
                </w:tcPr>
                <w:p w14:paraId="6800F46D">
                  <w:pPr>
                    <w:jc w:val="center"/>
                    <w:rPr>
                      <w:szCs w:val="21"/>
                    </w:rPr>
                  </w:pPr>
                </w:p>
              </w:tc>
              <w:tc>
                <w:tcPr>
                  <w:tcW w:w="1181" w:type="dxa"/>
                  <w:vAlign w:val="center"/>
                </w:tcPr>
                <w:p w14:paraId="5118C9A0">
                  <w:pPr>
                    <w:jc w:val="center"/>
                    <w:rPr>
                      <w:szCs w:val="21"/>
                    </w:rPr>
                  </w:pPr>
                  <w:r>
                    <w:rPr>
                      <w:rFonts w:hint="eastAsia"/>
                      <w:szCs w:val="21"/>
                    </w:rPr>
                    <w:t>简单防渗区</w:t>
                  </w:r>
                </w:p>
              </w:tc>
              <w:tc>
                <w:tcPr>
                  <w:tcW w:w="1800" w:type="dxa"/>
                  <w:vAlign w:val="center"/>
                </w:tcPr>
                <w:p w14:paraId="122027CF">
                  <w:pPr>
                    <w:jc w:val="center"/>
                    <w:rPr>
                      <w:szCs w:val="21"/>
                    </w:rPr>
                  </w:pPr>
                  <w:r>
                    <w:rPr>
                      <w:rFonts w:hint="eastAsia"/>
                      <w:szCs w:val="21"/>
                    </w:rPr>
                    <w:t>地面道路，综合楼等其他地面</w:t>
                  </w:r>
                </w:p>
              </w:tc>
              <w:tc>
                <w:tcPr>
                  <w:tcW w:w="5164" w:type="dxa"/>
                  <w:vAlign w:val="center"/>
                </w:tcPr>
                <w:p w14:paraId="7E55261C">
                  <w:pPr>
                    <w:jc w:val="center"/>
                    <w:rPr>
                      <w:szCs w:val="21"/>
                    </w:rPr>
                  </w:pPr>
                  <w:r>
                    <w:rPr>
                      <w:rFonts w:hint="eastAsia"/>
                      <w:szCs w:val="21"/>
                    </w:rPr>
                    <w:t>简单硬化</w:t>
                  </w:r>
                </w:p>
              </w:tc>
            </w:tr>
          </w:tbl>
          <w:p w14:paraId="01DE75B1">
            <w:pPr>
              <w:pStyle w:val="36"/>
              <w:ind w:firstLine="480"/>
              <w:rPr>
                <w:rFonts w:hint="default"/>
              </w:rPr>
            </w:pPr>
            <w:r>
              <w:t>综上，本项目在确保各项防渗措施得以落实，并加强维护和厂区环境管理的前提下，可有效控制项目产生的污染物下渗现象，避免污染地下水和土壤，因此拟建项目不会对区域地下水、土壤环境产生明显影响。</w:t>
            </w:r>
          </w:p>
          <w:p w14:paraId="5C4E8959">
            <w:pPr>
              <w:spacing w:before="120" w:beforeLines="50" w:line="360" w:lineRule="auto"/>
              <w:ind w:firstLine="482" w:firstLineChars="200"/>
              <w:rPr>
                <w:b/>
                <w:bCs/>
                <w:color w:val="000000"/>
                <w:sz w:val="24"/>
              </w:rPr>
            </w:pPr>
            <w:r>
              <w:rPr>
                <w:rFonts w:hint="eastAsia"/>
                <w:b/>
                <w:bCs/>
                <w:color w:val="000000"/>
                <w:sz w:val="24"/>
              </w:rPr>
              <w:t>（六）</w:t>
            </w:r>
            <w:r>
              <w:rPr>
                <w:b/>
                <w:bCs/>
                <w:color w:val="000000"/>
                <w:sz w:val="24"/>
              </w:rPr>
              <w:t>生态环境影响分析</w:t>
            </w:r>
          </w:p>
          <w:p w14:paraId="5725284C">
            <w:pPr>
              <w:pStyle w:val="42"/>
              <w:ind w:firstLine="480"/>
              <w:rPr>
                <w:color w:val="000000"/>
              </w:rPr>
            </w:pPr>
            <w:r>
              <w:rPr>
                <w:rFonts w:hint="eastAsia"/>
                <w:lang w:val="en-US" w:eastAsia="zh-CN"/>
              </w:rPr>
              <w:t>项目</w:t>
            </w:r>
            <w:r>
              <w:rPr>
                <w:rFonts w:hint="eastAsia"/>
              </w:rPr>
              <w:t>位于</w:t>
            </w:r>
            <w:r>
              <w:rPr>
                <w:rFonts w:hint="eastAsia"/>
                <w:lang w:val="en-US" w:eastAsia="zh-CN"/>
              </w:rPr>
              <w:t>青塘镇</w:t>
            </w:r>
            <w:r>
              <w:rPr>
                <w:rFonts w:hint="eastAsia"/>
              </w:rPr>
              <w:t>，由于受人为生产生活影响，项目厂址及周边</w:t>
            </w:r>
            <w:r>
              <w:t>无</w:t>
            </w:r>
            <w:r>
              <w:rPr>
                <w:rFonts w:hint="eastAsia"/>
              </w:rPr>
              <w:t>敏感</w:t>
            </w:r>
            <w:r>
              <w:t>生态环境保护目标，</w:t>
            </w:r>
            <w:r>
              <w:rPr>
                <w:rFonts w:hint="eastAsia"/>
                <w:lang w:val="en-US" w:eastAsia="zh-CN"/>
              </w:rPr>
              <w:t>项目</w:t>
            </w:r>
            <w:r>
              <w:t>建设对</w:t>
            </w:r>
            <w:r>
              <w:rPr>
                <w:rFonts w:hint="eastAsia"/>
                <w:lang w:val="en-US" w:eastAsia="zh-CN"/>
              </w:rPr>
              <w:t>区域</w:t>
            </w:r>
            <w:r>
              <w:t>植物物种及植被类型没有较大的影响，不会有植物物种和植被类型消失，评价区域内无重点保护野生植物分布，工程不会对国家重点保护野生植物产生影响</w:t>
            </w:r>
            <w:r>
              <w:rPr>
                <w:rFonts w:hint="eastAsia"/>
                <w:lang w:eastAsia="zh-CN"/>
              </w:rPr>
              <w:t>，</w:t>
            </w:r>
            <w:r>
              <w:rPr>
                <w:rFonts w:hint="eastAsia"/>
              </w:rPr>
              <w:t>因此无需相关生态环境保护措施。</w:t>
            </w:r>
          </w:p>
          <w:p w14:paraId="7D818DD0">
            <w:pPr>
              <w:spacing w:line="360" w:lineRule="auto"/>
              <w:ind w:firstLine="482" w:firstLineChars="200"/>
              <w:rPr>
                <w:b/>
                <w:bCs/>
                <w:sz w:val="24"/>
              </w:rPr>
            </w:pPr>
            <w:r>
              <w:rPr>
                <w:rFonts w:hint="eastAsia"/>
                <w:b/>
                <w:bCs/>
                <w:sz w:val="24"/>
              </w:rPr>
              <w:t>（七）</w:t>
            </w:r>
            <w:r>
              <w:rPr>
                <w:b/>
                <w:bCs/>
                <w:sz w:val="24"/>
              </w:rPr>
              <w:t>环境风险</w:t>
            </w:r>
            <w:r>
              <w:rPr>
                <w:rFonts w:hint="eastAsia"/>
                <w:b/>
                <w:bCs/>
                <w:sz w:val="24"/>
              </w:rPr>
              <w:t>影响</w:t>
            </w:r>
            <w:r>
              <w:rPr>
                <w:b/>
                <w:bCs/>
                <w:sz w:val="24"/>
              </w:rPr>
              <w:t>分析</w:t>
            </w:r>
          </w:p>
          <w:p w14:paraId="2849A0FD">
            <w:pPr>
              <w:spacing w:line="360" w:lineRule="auto"/>
              <w:ind w:firstLine="480" w:firstLineChars="200"/>
              <w:rPr>
                <w:sz w:val="24"/>
              </w:rPr>
            </w:pPr>
            <w:r>
              <w:rPr>
                <w:rFonts w:hint="eastAsia"/>
                <w:sz w:val="24"/>
              </w:rPr>
              <w:t>根据《建设项目环境风险评价技术导则》（HJ169-2018）的要求，环境风险评价是对涉及有毒有害和易燃易爆危险物质生产、使用、储存（包括使用管线输运）的建设项目可能发生的突发性事故（不包括人为破坏及自然灾害引发的事故）进行的评价。</w:t>
            </w:r>
          </w:p>
          <w:p w14:paraId="73405E72">
            <w:pPr>
              <w:spacing w:line="360" w:lineRule="auto"/>
              <w:ind w:firstLine="482" w:firstLineChars="200"/>
              <w:rPr>
                <w:b/>
                <w:bCs/>
                <w:sz w:val="24"/>
              </w:rPr>
            </w:pPr>
            <w:r>
              <w:rPr>
                <w:rFonts w:hint="eastAsia"/>
                <w:b/>
                <w:bCs/>
                <w:sz w:val="24"/>
              </w:rPr>
              <w:t xml:space="preserve">1、风险调查 </w:t>
            </w:r>
          </w:p>
          <w:p w14:paraId="38B1C99B">
            <w:pPr>
              <w:spacing w:line="360" w:lineRule="auto"/>
              <w:ind w:firstLine="480" w:firstLineChars="200"/>
              <w:rPr>
                <w:sz w:val="24"/>
              </w:rPr>
            </w:pPr>
            <w:r>
              <w:rPr>
                <w:rFonts w:hint="eastAsia"/>
                <w:sz w:val="24"/>
              </w:rPr>
              <w:t>对照《建设项目环境风险评价技术导则》(HJ169-2018)附录B.1中的突发环境事件风险物质及临界量情况，筛选出本项目环境风险物质为各污水处理厂的次氯酸钠、设备维护保养产生的废润滑油（项目污水处理及污泥处置过程中产生少量</w:t>
            </w:r>
            <w:r>
              <w:rPr>
                <w:szCs w:val="21"/>
              </w:rPr>
              <w:t>NH</w:t>
            </w:r>
            <w:r>
              <w:rPr>
                <w:szCs w:val="21"/>
                <w:vertAlign w:val="subscript"/>
              </w:rPr>
              <w:t>3</w:t>
            </w:r>
            <w:r>
              <w:rPr>
                <w:rFonts w:hint="eastAsia"/>
                <w:sz w:val="24"/>
              </w:rPr>
              <w:t>、</w:t>
            </w:r>
            <w:r>
              <w:rPr>
                <w:szCs w:val="21"/>
              </w:rPr>
              <w:t>H</w:t>
            </w:r>
            <w:r>
              <w:rPr>
                <w:szCs w:val="21"/>
                <w:vertAlign w:val="subscript"/>
              </w:rPr>
              <w:t>2</w:t>
            </w:r>
            <w:r>
              <w:rPr>
                <w:szCs w:val="21"/>
              </w:rPr>
              <w:t>S</w:t>
            </w:r>
            <w:r>
              <w:rPr>
                <w:rFonts w:hint="eastAsia"/>
                <w:sz w:val="24"/>
              </w:rPr>
              <w:t>，该部分环境风险物质在各污水处理及污泥处置构筑物中产生，产生量小，产生后即被废气收集处理设施收集处置，本次评价不对上述两种物质进行统计分析）。</w:t>
            </w:r>
          </w:p>
          <w:p w14:paraId="4A4C02D7">
            <w:pPr>
              <w:pStyle w:val="52"/>
            </w:pPr>
            <w:r>
              <w:t>建设项目</w:t>
            </w:r>
            <w:r>
              <w:rPr>
                <w:rFonts w:hint="eastAsia"/>
              </w:rPr>
              <w:t>环境风险物质</w:t>
            </w:r>
            <w:r>
              <w:t>调查清单</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897"/>
              <w:gridCol w:w="1766"/>
              <w:gridCol w:w="1076"/>
              <w:gridCol w:w="1377"/>
              <w:gridCol w:w="1800"/>
            </w:tblGrid>
            <w:tr w14:paraId="6F09F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4" w:type="pct"/>
                  <w:tcBorders>
                    <w:tl2br w:val="nil"/>
                    <w:tr2bl w:val="nil"/>
                  </w:tcBorders>
                  <w:vAlign w:val="center"/>
                </w:tcPr>
                <w:p w14:paraId="29F11F0A">
                  <w:pPr>
                    <w:jc w:val="center"/>
                    <w:rPr>
                      <w:b/>
                      <w:snapToGrid w:val="0"/>
                      <w:kern w:val="0"/>
                      <w:szCs w:val="21"/>
                    </w:rPr>
                  </w:pPr>
                  <w:r>
                    <w:rPr>
                      <w:rFonts w:hint="eastAsia"/>
                      <w:b/>
                      <w:snapToGrid w:val="0"/>
                      <w:kern w:val="0"/>
                      <w:szCs w:val="21"/>
                    </w:rPr>
                    <w:t>项目</w:t>
                  </w:r>
                </w:p>
              </w:tc>
              <w:tc>
                <w:tcPr>
                  <w:tcW w:w="990" w:type="pct"/>
                  <w:tcBorders>
                    <w:tl2br w:val="nil"/>
                    <w:tr2bl w:val="nil"/>
                  </w:tcBorders>
                  <w:vAlign w:val="center"/>
                </w:tcPr>
                <w:p w14:paraId="02AABC98">
                  <w:pPr>
                    <w:jc w:val="center"/>
                    <w:rPr>
                      <w:b/>
                      <w:snapToGrid w:val="0"/>
                      <w:kern w:val="0"/>
                      <w:szCs w:val="21"/>
                    </w:rPr>
                  </w:pPr>
                  <w:r>
                    <w:rPr>
                      <w:rFonts w:hint="eastAsia"/>
                      <w:b/>
                      <w:snapToGrid w:val="0"/>
                      <w:kern w:val="0"/>
                      <w:szCs w:val="21"/>
                    </w:rPr>
                    <w:t>危险物质名称</w:t>
                  </w:r>
                </w:p>
              </w:tc>
              <w:tc>
                <w:tcPr>
                  <w:tcW w:w="603" w:type="pct"/>
                  <w:tcBorders>
                    <w:tl2br w:val="nil"/>
                    <w:tr2bl w:val="nil"/>
                  </w:tcBorders>
                  <w:vAlign w:val="center"/>
                </w:tcPr>
                <w:p w14:paraId="3A51CCFD">
                  <w:pPr>
                    <w:jc w:val="center"/>
                    <w:rPr>
                      <w:b/>
                      <w:snapToGrid w:val="0"/>
                      <w:kern w:val="0"/>
                      <w:szCs w:val="21"/>
                    </w:rPr>
                  </w:pPr>
                  <w:r>
                    <w:rPr>
                      <w:rFonts w:hint="eastAsia"/>
                      <w:b/>
                      <w:snapToGrid w:val="0"/>
                      <w:kern w:val="0"/>
                      <w:szCs w:val="21"/>
                    </w:rPr>
                    <w:t>最大存在量t</w:t>
                  </w:r>
                </w:p>
              </w:tc>
              <w:tc>
                <w:tcPr>
                  <w:tcW w:w="772" w:type="pct"/>
                  <w:tcBorders>
                    <w:tl2br w:val="nil"/>
                    <w:tr2bl w:val="nil"/>
                  </w:tcBorders>
                  <w:vAlign w:val="center"/>
                </w:tcPr>
                <w:p w14:paraId="69AD0A42">
                  <w:pPr>
                    <w:jc w:val="center"/>
                    <w:rPr>
                      <w:b/>
                      <w:snapToGrid w:val="0"/>
                      <w:kern w:val="0"/>
                      <w:szCs w:val="21"/>
                    </w:rPr>
                  </w:pPr>
                  <w:r>
                    <w:rPr>
                      <w:rFonts w:hint="eastAsia"/>
                      <w:b/>
                      <w:snapToGrid w:val="0"/>
                      <w:kern w:val="0"/>
                      <w:szCs w:val="21"/>
                    </w:rPr>
                    <w:t>危险物质占比/%</w:t>
                  </w:r>
                </w:p>
              </w:tc>
              <w:tc>
                <w:tcPr>
                  <w:tcW w:w="1009" w:type="pct"/>
                  <w:tcBorders>
                    <w:tl2br w:val="nil"/>
                    <w:tr2bl w:val="nil"/>
                  </w:tcBorders>
                  <w:vAlign w:val="center"/>
                </w:tcPr>
                <w:p w14:paraId="60FE7F19">
                  <w:pPr>
                    <w:jc w:val="center"/>
                    <w:rPr>
                      <w:b/>
                      <w:snapToGrid w:val="0"/>
                      <w:kern w:val="0"/>
                      <w:szCs w:val="21"/>
                    </w:rPr>
                  </w:pPr>
                  <w:r>
                    <w:rPr>
                      <w:rFonts w:hint="eastAsia"/>
                      <w:b/>
                      <w:snapToGrid w:val="0"/>
                      <w:kern w:val="0"/>
                      <w:szCs w:val="21"/>
                    </w:rPr>
                    <w:t>危险物质最大存在量t</w:t>
                  </w:r>
                </w:p>
              </w:tc>
            </w:tr>
            <w:tr w14:paraId="724C5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4" w:type="pct"/>
                  <w:vMerge w:val="restart"/>
                  <w:tcBorders>
                    <w:tl2br w:val="nil"/>
                    <w:tr2bl w:val="nil"/>
                  </w:tcBorders>
                  <w:vAlign w:val="center"/>
                </w:tcPr>
                <w:p w14:paraId="070A0849">
                  <w:pPr>
                    <w:pStyle w:val="38"/>
                    <w:rPr>
                      <w:rFonts w:hint="eastAsia" w:eastAsia="宋体"/>
                      <w:lang w:eastAsia="zh-CN"/>
                    </w:rPr>
                  </w:pPr>
                  <w:r>
                    <w:rPr>
                      <w:rFonts w:hint="eastAsia"/>
                      <w:lang w:eastAsia="zh-CN"/>
                    </w:rPr>
                    <w:t>宁都县青塘镇污水处理厂工程</w:t>
                  </w:r>
                </w:p>
              </w:tc>
              <w:tc>
                <w:tcPr>
                  <w:tcW w:w="990" w:type="pct"/>
                  <w:tcBorders>
                    <w:tl2br w:val="nil"/>
                    <w:tr2bl w:val="nil"/>
                  </w:tcBorders>
                  <w:vAlign w:val="center"/>
                </w:tcPr>
                <w:p w14:paraId="7E563B8E">
                  <w:pPr>
                    <w:pStyle w:val="38"/>
                    <w:ind w:left="0" w:leftChars="0" w:right="0" w:rightChars="0" w:firstLine="0" w:firstLineChars="0"/>
                    <w:jc w:val="center"/>
                  </w:pPr>
                  <w:r>
                    <w:rPr>
                      <w:rFonts w:hint="eastAsia"/>
                    </w:rPr>
                    <w:t>次氯酸钠</w:t>
                  </w:r>
                </w:p>
              </w:tc>
              <w:tc>
                <w:tcPr>
                  <w:tcW w:w="603" w:type="pct"/>
                  <w:tcBorders>
                    <w:tl2br w:val="nil"/>
                    <w:tr2bl w:val="nil"/>
                  </w:tcBorders>
                  <w:vAlign w:val="center"/>
                </w:tcPr>
                <w:p w14:paraId="765B66B2">
                  <w:pPr>
                    <w:pStyle w:val="38"/>
                    <w:ind w:left="0" w:leftChars="0" w:right="0" w:rightChars="0" w:firstLine="0" w:firstLineChars="0"/>
                    <w:jc w:val="center"/>
                    <w:rPr>
                      <w:rFonts w:hint="default" w:eastAsia="宋体"/>
                      <w:lang w:val="en-US" w:eastAsia="zh-CN"/>
                    </w:rPr>
                  </w:pPr>
                  <w:r>
                    <w:rPr>
                      <w:rFonts w:hint="eastAsia"/>
                      <w:lang w:val="en-US" w:eastAsia="zh-CN"/>
                    </w:rPr>
                    <w:t>0.01</w:t>
                  </w:r>
                </w:p>
              </w:tc>
              <w:tc>
                <w:tcPr>
                  <w:tcW w:w="1377" w:type="dxa"/>
                  <w:tcBorders>
                    <w:tl2br w:val="nil"/>
                    <w:tr2bl w:val="nil"/>
                  </w:tcBorders>
                  <w:vAlign w:val="center"/>
                </w:tcPr>
                <w:p w14:paraId="548AFEB6">
                  <w:pPr>
                    <w:pStyle w:val="38"/>
                    <w:bidi w:val="0"/>
                    <w:ind w:left="0" w:leftChars="0" w:right="0" w:rightChars="0" w:firstLine="0" w:firstLineChars="0"/>
                    <w:jc w:val="center"/>
                  </w:pPr>
                  <w:r>
                    <w:t>10</w:t>
                  </w:r>
                </w:p>
              </w:tc>
              <w:tc>
                <w:tcPr>
                  <w:tcW w:w="1009" w:type="pct"/>
                  <w:tcBorders>
                    <w:tl2br w:val="nil"/>
                    <w:tr2bl w:val="nil"/>
                  </w:tcBorders>
                  <w:vAlign w:val="center"/>
                </w:tcPr>
                <w:p w14:paraId="736D14FC">
                  <w:pPr>
                    <w:pStyle w:val="38"/>
                    <w:ind w:left="0" w:leftChars="0" w:right="0" w:rightChars="0" w:firstLine="0" w:firstLineChars="0"/>
                    <w:jc w:val="center"/>
                    <w:rPr>
                      <w:rFonts w:hint="default" w:eastAsia="宋体"/>
                      <w:lang w:val="en-US" w:eastAsia="zh-CN"/>
                    </w:rPr>
                  </w:pPr>
                  <w:r>
                    <w:rPr>
                      <w:rFonts w:hint="eastAsia"/>
                      <w:lang w:val="en-US" w:eastAsia="zh-CN"/>
                    </w:rPr>
                    <w:t>0.001</w:t>
                  </w:r>
                </w:p>
              </w:tc>
            </w:tr>
            <w:tr w14:paraId="335AE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4" w:type="pct"/>
                  <w:vMerge w:val="continue"/>
                  <w:tcBorders>
                    <w:tl2br w:val="nil"/>
                    <w:tr2bl w:val="nil"/>
                  </w:tcBorders>
                  <w:vAlign w:val="center"/>
                </w:tcPr>
                <w:p w14:paraId="6748D054">
                  <w:pPr>
                    <w:jc w:val="center"/>
                    <w:rPr>
                      <w:szCs w:val="21"/>
                    </w:rPr>
                  </w:pPr>
                </w:p>
              </w:tc>
              <w:tc>
                <w:tcPr>
                  <w:tcW w:w="990" w:type="pct"/>
                  <w:tcBorders>
                    <w:tl2br w:val="nil"/>
                    <w:tr2bl w:val="nil"/>
                  </w:tcBorders>
                  <w:vAlign w:val="center"/>
                </w:tcPr>
                <w:p w14:paraId="4255DF71">
                  <w:pPr>
                    <w:pStyle w:val="38"/>
                    <w:ind w:left="0" w:leftChars="0" w:right="0" w:rightChars="0" w:firstLine="0" w:firstLineChars="0"/>
                    <w:jc w:val="center"/>
                  </w:pPr>
                  <w:r>
                    <w:rPr>
                      <w:rFonts w:hint="eastAsia"/>
                    </w:rPr>
                    <w:t>废润滑油</w:t>
                  </w:r>
                </w:p>
              </w:tc>
              <w:tc>
                <w:tcPr>
                  <w:tcW w:w="603" w:type="pct"/>
                  <w:tcBorders>
                    <w:tl2br w:val="nil"/>
                    <w:tr2bl w:val="nil"/>
                  </w:tcBorders>
                  <w:vAlign w:val="center"/>
                </w:tcPr>
                <w:p w14:paraId="5101B09C">
                  <w:pPr>
                    <w:pStyle w:val="38"/>
                    <w:ind w:left="0" w:leftChars="0" w:right="0" w:rightChars="0" w:firstLine="0" w:firstLineChars="0"/>
                    <w:jc w:val="center"/>
                    <w:rPr>
                      <w:rFonts w:hint="default" w:eastAsia="宋体"/>
                      <w:lang w:val="en-US" w:eastAsia="zh-CN"/>
                    </w:rPr>
                  </w:pPr>
                  <w:r>
                    <w:rPr>
                      <w:rFonts w:hint="eastAsia"/>
                      <w:lang w:val="en-US" w:eastAsia="zh-CN"/>
                    </w:rPr>
                    <w:t>0.001</w:t>
                  </w:r>
                </w:p>
              </w:tc>
              <w:tc>
                <w:tcPr>
                  <w:tcW w:w="1377" w:type="dxa"/>
                  <w:tcBorders>
                    <w:tl2br w:val="nil"/>
                    <w:tr2bl w:val="nil"/>
                  </w:tcBorders>
                  <w:vAlign w:val="center"/>
                </w:tcPr>
                <w:p w14:paraId="29CA97BA">
                  <w:pPr>
                    <w:pStyle w:val="38"/>
                    <w:bidi w:val="0"/>
                    <w:ind w:left="0" w:leftChars="0" w:right="0" w:rightChars="0" w:firstLine="0" w:firstLineChars="0"/>
                    <w:jc w:val="center"/>
                  </w:pPr>
                  <w:r>
                    <w:t>100</w:t>
                  </w:r>
                </w:p>
              </w:tc>
              <w:tc>
                <w:tcPr>
                  <w:tcW w:w="1009" w:type="pct"/>
                  <w:tcBorders>
                    <w:tl2br w:val="nil"/>
                    <w:tr2bl w:val="nil"/>
                  </w:tcBorders>
                  <w:vAlign w:val="center"/>
                </w:tcPr>
                <w:p w14:paraId="28F5EFC8">
                  <w:pPr>
                    <w:pStyle w:val="38"/>
                    <w:ind w:left="0" w:leftChars="0" w:right="0" w:rightChars="0" w:firstLine="0" w:firstLineChars="0"/>
                    <w:jc w:val="center"/>
                    <w:rPr>
                      <w:rFonts w:hint="default" w:eastAsia="宋体"/>
                      <w:lang w:val="en-US" w:eastAsia="zh-CN"/>
                    </w:rPr>
                  </w:pPr>
                  <w:r>
                    <w:rPr>
                      <w:rFonts w:hint="eastAsia"/>
                      <w:lang w:val="en-US" w:eastAsia="zh-CN"/>
                    </w:rPr>
                    <w:t>0.001</w:t>
                  </w:r>
                </w:p>
              </w:tc>
            </w:tr>
          </w:tbl>
          <w:p w14:paraId="58168F07">
            <w:pPr>
              <w:pStyle w:val="38"/>
              <w:jc w:val="left"/>
            </w:pPr>
            <w:r>
              <w:rPr>
                <w:rFonts w:hint="eastAsia"/>
              </w:rPr>
              <w:t>注：</w:t>
            </w:r>
          </w:p>
          <w:p w14:paraId="52DBF826">
            <w:pPr>
              <w:spacing w:line="360" w:lineRule="auto"/>
              <w:ind w:firstLine="482" w:firstLineChars="200"/>
              <w:rPr>
                <w:b/>
                <w:bCs/>
                <w:sz w:val="24"/>
              </w:rPr>
            </w:pPr>
            <w:r>
              <w:rPr>
                <w:rFonts w:hint="eastAsia"/>
                <w:b/>
                <w:bCs/>
                <w:sz w:val="24"/>
              </w:rPr>
              <w:t>2、风险潜势初判</w:t>
            </w:r>
          </w:p>
          <w:p w14:paraId="3AD6A618">
            <w:pPr>
              <w:spacing w:line="360" w:lineRule="auto"/>
              <w:ind w:firstLine="480" w:firstLineChars="200"/>
              <w:rPr>
                <w:sz w:val="24"/>
              </w:rPr>
            </w:pPr>
            <w:r>
              <w:rPr>
                <w:rFonts w:hint="eastAsia"/>
                <w:sz w:val="24"/>
              </w:rPr>
              <w:t>根据《建设项目环境风险评价技术导则》（HJ169-2018）当存在多种危险物质时，则按式（C.1）计算物质总量与其临界量比值（Q）：</w:t>
            </w:r>
          </w:p>
          <w:p w14:paraId="330E5478">
            <w:pPr>
              <w:adjustRightInd w:val="0"/>
              <w:snapToGrid w:val="0"/>
              <w:spacing w:line="360" w:lineRule="auto"/>
              <w:jc w:val="center"/>
              <w:rPr>
                <w:sz w:val="24"/>
                <w:szCs w:val="32"/>
              </w:rPr>
            </w:pPr>
            <m:oMathPara>
              <m:oMath>
                <m:r>
                  <m:rPr>
                    <m:sty m:val="p"/>
                  </m:rPr>
                  <w:rPr>
                    <w:rFonts w:ascii="Cambria Math" w:hAnsi="Cambria Math"/>
                    <w:sz w:val="24"/>
                    <w:szCs w:val="32"/>
                  </w:rPr>
                  <m:t>Q=</m:t>
                </m:r>
                <m:f>
                  <m:fPr>
                    <m:ctrlPr>
                      <w:rPr>
                        <w:rFonts w:ascii="Cambria Math" w:hAnsi="Cambria Math"/>
                        <w:sz w:val="24"/>
                        <w:szCs w:val="32"/>
                      </w:rPr>
                    </m:ctrlPr>
                  </m:fPr>
                  <m:num>
                    <m:sSub>
                      <m:sSubPr>
                        <m:ctrlPr>
                          <w:rPr>
                            <w:rFonts w:ascii="Cambria Math" w:hAnsi="Cambria Math"/>
                            <w:sz w:val="24"/>
                            <w:szCs w:val="32"/>
                          </w:rPr>
                        </m:ctrlPr>
                      </m:sSubPr>
                      <m:e>
                        <m:r>
                          <m:rPr>
                            <m:sty m:val="p"/>
                          </m:rPr>
                          <w:rPr>
                            <w:rFonts w:ascii="Cambria Math" w:hAnsi="Cambria Math"/>
                            <w:sz w:val="24"/>
                            <w:szCs w:val="32"/>
                          </w:rPr>
                          <m:t>q</m:t>
                        </m:r>
                        <m:ctrlPr>
                          <w:rPr>
                            <w:rFonts w:ascii="Cambria Math" w:hAnsi="Cambria Math"/>
                            <w:sz w:val="24"/>
                            <w:szCs w:val="32"/>
                          </w:rPr>
                        </m:ctrlPr>
                      </m:e>
                      <m:sub>
                        <m:r>
                          <m:rPr>
                            <m:sty m:val="p"/>
                          </m:rPr>
                          <w:rPr>
                            <w:rFonts w:ascii="Cambria Math" w:hAnsi="Cambria Math"/>
                            <w:sz w:val="24"/>
                            <w:szCs w:val="32"/>
                          </w:rPr>
                          <m:t>1</m:t>
                        </m:r>
                        <m:ctrlPr>
                          <w:rPr>
                            <w:rFonts w:ascii="Cambria Math" w:hAnsi="Cambria Math"/>
                            <w:sz w:val="24"/>
                            <w:szCs w:val="32"/>
                          </w:rPr>
                        </m:ctrlPr>
                      </m:sub>
                    </m:sSub>
                    <m:ctrlPr>
                      <w:rPr>
                        <w:rFonts w:ascii="Cambria Math" w:hAnsi="Cambria Math"/>
                        <w:sz w:val="24"/>
                        <w:szCs w:val="32"/>
                      </w:rPr>
                    </m:ctrlPr>
                  </m:num>
                  <m:den>
                    <m:sSub>
                      <m:sSubPr>
                        <m:ctrlPr>
                          <w:rPr>
                            <w:rFonts w:ascii="Cambria Math" w:hAnsi="Cambria Math"/>
                            <w:sz w:val="24"/>
                            <w:szCs w:val="32"/>
                          </w:rPr>
                        </m:ctrlPr>
                      </m:sSubPr>
                      <m:e>
                        <m:r>
                          <m:rPr>
                            <m:sty m:val="p"/>
                          </m:rPr>
                          <w:rPr>
                            <w:rFonts w:ascii="Cambria Math" w:hAnsi="Cambria Math"/>
                            <w:sz w:val="24"/>
                            <w:szCs w:val="32"/>
                          </w:rPr>
                          <m:t>Q</m:t>
                        </m:r>
                        <m:ctrlPr>
                          <w:rPr>
                            <w:rFonts w:ascii="Cambria Math" w:hAnsi="Cambria Math"/>
                            <w:sz w:val="24"/>
                            <w:szCs w:val="32"/>
                          </w:rPr>
                        </m:ctrlPr>
                      </m:e>
                      <m:sub>
                        <m:r>
                          <m:rPr>
                            <m:sty m:val="p"/>
                          </m:rPr>
                          <w:rPr>
                            <w:rFonts w:ascii="Cambria Math" w:hAnsi="Cambria Math"/>
                            <w:sz w:val="24"/>
                            <w:szCs w:val="32"/>
                          </w:rPr>
                          <m:t>1</m:t>
                        </m:r>
                        <m:ctrlPr>
                          <w:rPr>
                            <w:rFonts w:ascii="Cambria Math" w:hAnsi="Cambria Math"/>
                            <w:sz w:val="24"/>
                            <w:szCs w:val="32"/>
                          </w:rPr>
                        </m:ctrlPr>
                      </m:sub>
                    </m:sSub>
                    <m:ctrlPr>
                      <w:rPr>
                        <w:rFonts w:ascii="Cambria Math" w:hAnsi="Cambria Math"/>
                        <w:sz w:val="24"/>
                        <w:szCs w:val="32"/>
                      </w:rPr>
                    </m:ctrlPr>
                  </m:den>
                </m:f>
                <m:r>
                  <m:rPr>
                    <m:sty m:val="p"/>
                  </m:rPr>
                  <w:rPr>
                    <w:rFonts w:ascii="Cambria Math" w:hAnsi="Cambria Math"/>
                    <w:sz w:val="24"/>
                    <w:szCs w:val="32"/>
                  </w:rPr>
                  <m:t>+</m:t>
                </m:r>
                <m:f>
                  <m:fPr>
                    <m:ctrlPr>
                      <w:rPr>
                        <w:rFonts w:ascii="Cambria Math" w:hAnsi="Cambria Math"/>
                        <w:sz w:val="24"/>
                        <w:szCs w:val="32"/>
                      </w:rPr>
                    </m:ctrlPr>
                  </m:fPr>
                  <m:num>
                    <m:sSub>
                      <m:sSubPr>
                        <m:ctrlPr>
                          <w:rPr>
                            <w:rFonts w:ascii="Cambria Math" w:hAnsi="Cambria Math"/>
                            <w:sz w:val="24"/>
                            <w:szCs w:val="32"/>
                          </w:rPr>
                        </m:ctrlPr>
                      </m:sSubPr>
                      <m:e>
                        <m:r>
                          <m:rPr>
                            <m:sty m:val="p"/>
                          </m:rPr>
                          <w:rPr>
                            <w:rFonts w:ascii="Cambria Math" w:hAnsi="Cambria Math"/>
                            <w:sz w:val="24"/>
                            <w:szCs w:val="32"/>
                          </w:rPr>
                          <m:t>q</m:t>
                        </m:r>
                        <m:ctrlPr>
                          <w:rPr>
                            <w:rFonts w:ascii="Cambria Math" w:hAnsi="Cambria Math"/>
                            <w:sz w:val="24"/>
                            <w:szCs w:val="32"/>
                          </w:rPr>
                        </m:ctrlPr>
                      </m:e>
                      <m:sub>
                        <m:r>
                          <m:rPr>
                            <m:sty m:val="p"/>
                          </m:rPr>
                          <w:rPr>
                            <w:rFonts w:ascii="Cambria Math" w:hAnsi="Cambria Math"/>
                            <w:sz w:val="24"/>
                            <w:szCs w:val="32"/>
                          </w:rPr>
                          <m:t>2</m:t>
                        </m:r>
                        <m:ctrlPr>
                          <w:rPr>
                            <w:rFonts w:ascii="Cambria Math" w:hAnsi="Cambria Math"/>
                            <w:sz w:val="24"/>
                            <w:szCs w:val="32"/>
                          </w:rPr>
                        </m:ctrlPr>
                      </m:sub>
                    </m:sSub>
                    <m:ctrlPr>
                      <w:rPr>
                        <w:rFonts w:ascii="Cambria Math" w:hAnsi="Cambria Math"/>
                        <w:sz w:val="24"/>
                        <w:szCs w:val="32"/>
                      </w:rPr>
                    </m:ctrlPr>
                  </m:num>
                  <m:den>
                    <m:sSub>
                      <m:sSubPr>
                        <m:ctrlPr>
                          <w:rPr>
                            <w:rFonts w:ascii="Cambria Math" w:hAnsi="Cambria Math"/>
                            <w:sz w:val="24"/>
                            <w:szCs w:val="32"/>
                          </w:rPr>
                        </m:ctrlPr>
                      </m:sSubPr>
                      <m:e>
                        <m:r>
                          <m:rPr>
                            <m:sty m:val="p"/>
                          </m:rPr>
                          <w:rPr>
                            <w:rFonts w:ascii="Cambria Math" w:hAnsi="Cambria Math"/>
                            <w:sz w:val="24"/>
                            <w:szCs w:val="32"/>
                          </w:rPr>
                          <m:t>Q</m:t>
                        </m:r>
                        <m:ctrlPr>
                          <w:rPr>
                            <w:rFonts w:ascii="Cambria Math" w:hAnsi="Cambria Math"/>
                            <w:sz w:val="24"/>
                            <w:szCs w:val="32"/>
                          </w:rPr>
                        </m:ctrlPr>
                      </m:e>
                      <m:sub>
                        <m:r>
                          <m:rPr>
                            <m:sty m:val="p"/>
                          </m:rPr>
                          <w:rPr>
                            <w:rFonts w:ascii="Cambria Math" w:hAnsi="Cambria Math"/>
                            <w:sz w:val="24"/>
                            <w:szCs w:val="32"/>
                          </w:rPr>
                          <m:t>2</m:t>
                        </m:r>
                        <m:ctrlPr>
                          <w:rPr>
                            <w:rFonts w:ascii="Cambria Math" w:hAnsi="Cambria Math"/>
                            <w:sz w:val="24"/>
                            <w:szCs w:val="32"/>
                          </w:rPr>
                        </m:ctrlPr>
                      </m:sub>
                    </m:sSub>
                    <m:ctrlPr>
                      <w:rPr>
                        <w:rFonts w:ascii="Cambria Math" w:hAnsi="Cambria Math"/>
                        <w:sz w:val="24"/>
                        <w:szCs w:val="32"/>
                      </w:rPr>
                    </m:ctrlPr>
                  </m:den>
                </m:f>
                <m:r>
                  <m:rPr>
                    <m:sty m:val="p"/>
                  </m:rPr>
                  <w:rPr>
                    <w:rFonts w:ascii="Cambria Math" w:hAnsi="Cambria Math"/>
                    <w:sz w:val="24"/>
                    <w:szCs w:val="32"/>
                  </w:rPr>
                  <m:t>+…</m:t>
                </m:r>
                <m:f>
                  <m:fPr>
                    <m:ctrlPr>
                      <w:rPr>
                        <w:rFonts w:ascii="Cambria Math" w:hAnsi="Cambria Math"/>
                        <w:sz w:val="24"/>
                        <w:szCs w:val="32"/>
                      </w:rPr>
                    </m:ctrlPr>
                  </m:fPr>
                  <m:num>
                    <m:sSub>
                      <m:sSubPr>
                        <m:ctrlPr>
                          <w:rPr>
                            <w:rFonts w:ascii="Cambria Math" w:hAnsi="Cambria Math"/>
                            <w:sz w:val="24"/>
                            <w:szCs w:val="32"/>
                          </w:rPr>
                        </m:ctrlPr>
                      </m:sSubPr>
                      <m:e>
                        <m:r>
                          <m:rPr>
                            <m:sty m:val="p"/>
                          </m:rPr>
                          <w:rPr>
                            <w:rFonts w:ascii="Cambria Math" w:hAnsi="Cambria Math"/>
                            <w:sz w:val="24"/>
                            <w:szCs w:val="32"/>
                          </w:rPr>
                          <m:t>q</m:t>
                        </m:r>
                        <m:ctrlPr>
                          <w:rPr>
                            <w:rFonts w:ascii="Cambria Math" w:hAnsi="Cambria Math"/>
                            <w:sz w:val="24"/>
                            <w:szCs w:val="32"/>
                          </w:rPr>
                        </m:ctrlPr>
                      </m:e>
                      <m:sub>
                        <m:r>
                          <m:rPr>
                            <m:sty m:val="p"/>
                          </m:rPr>
                          <w:rPr>
                            <w:rFonts w:ascii="Cambria Math" w:hAnsi="Cambria Math"/>
                            <w:sz w:val="24"/>
                            <w:szCs w:val="32"/>
                          </w:rPr>
                          <m:t>n</m:t>
                        </m:r>
                        <m:ctrlPr>
                          <w:rPr>
                            <w:rFonts w:ascii="Cambria Math" w:hAnsi="Cambria Math"/>
                            <w:sz w:val="24"/>
                            <w:szCs w:val="32"/>
                          </w:rPr>
                        </m:ctrlPr>
                      </m:sub>
                    </m:sSub>
                    <m:ctrlPr>
                      <w:rPr>
                        <w:rFonts w:ascii="Cambria Math" w:hAnsi="Cambria Math"/>
                        <w:sz w:val="24"/>
                        <w:szCs w:val="32"/>
                      </w:rPr>
                    </m:ctrlPr>
                  </m:num>
                  <m:den>
                    <m:sSub>
                      <m:sSubPr>
                        <m:ctrlPr>
                          <w:rPr>
                            <w:rFonts w:ascii="Cambria Math" w:hAnsi="Cambria Math"/>
                            <w:sz w:val="24"/>
                            <w:szCs w:val="32"/>
                          </w:rPr>
                        </m:ctrlPr>
                      </m:sSubPr>
                      <m:e>
                        <m:r>
                          <m:rPr>
                            <m:sty m:val="p"/>
                          </m:rPr>
                          <w:rPr>
                            <w:rFonts w:ascii="Cambria Math" w:hAnsi="Cambria Math"/>
                            <w:sz w:val="24"/>
                            <w:szCs w:val="32"/>
                          </w:rPr>
                          <m:t>Q</m:t>
                        </m:r>
                        <m:ctrlPr>
                          <w:rPr>
                            <w:rFonts w:ascii="Cambria Math" w:hAnsi="Cambria Math"/>
                            <w:sz w:val="24"/>
                            <w:szCs w:val="32"/>
                          </w:rPr>
                        </m:ctrlPr>
                      </m:e>
                      <m:sub>
                        <m:r>
                          <m:rPr>
                            <m:sty m:val="p"/>
                          </m:rPr>
                          <w:rPr>
                            <w:rFonts w:ascii="Cambria Math" w:hAnsi="Cambria Math"/>
                            <w:sz w:val="24"/>
                            <w:szCs w:val="32"/>
                          </w:rPr>
                          <m:t>n</m:t>
                        </m:r>
                        <m:ctrlPr>
                          <w:rPr>
                            <w:rFonts w:ascii="Cambria Math" w:hAnsi="Cambria Math"/>
                            <w:sz w:val="24"/>
                            <w:szCs w:val="32"/>
                          </w:rPr>
                        </m:ctrlPr>
                      </m:sub>
                    </m:sSub>
                    <m:ctrlPr>
                      <w:rPr>
                        <w:rFonts w:ascii="Cambria Math" w:hAnsi="Cambria Math"/>
                        <w:sz w:val="24"/>
                        <w:szCs w:val="32"/>
                      </w:rPr>
                    </m:ctrlPr>
                  </m:den>
                </m:f>
              </m:oMath>
            </m:oMathPara>
          </w:p>
          <w:p w14:paraId="233EDDE9">
            <w:pPr>
              <w:adjustRightInd w:val="0"/>
              <w:snapToGrid w:val="0"/>
              <w:spacing w:line="360" w:lineRule="auto"/>
              <w:ind w:firstLine="480" w:firstLineChars="200"/>
              <w:rPr>
                <w:sz w:val="24"/>
                <w:szCs w:val="32"/>
              </w:rPr>
            </w:pPr>
            <w:r>
              <w:rPr>
                <w:sz w:val="24"/>
                <w:szCs w:val="32"/>
              </w:rPr>
              <w:t>式中：q1、q2……qn——每种危险物质的最大存在总量，t；</w:t>
            </w:r>
          </w:p>
          <w:p w14:paraId="6945C33D">
            <w:pPr>
              <w:adjustRightInd w:val="0"/>
              <w:snapToGrid w:val="0"/>
              <w:spacing w:line="360" w:lineRule="auto"/>
              <w:ind w:firstLine="1200" w:firstLineChars="500"/>
              <w:rPr>
                <w:sz w:val="24"/>
                <w:szCs w:val="32"/>
              </w:rPr>
            </w:pPr>
            <w:r>
              <w:rPr>
                <w:sz w:val="24"/>
                <w:szCs w:val="32"/>
              </w:rPr>
              <w:t>Q1、Q2……Qn——每种危险物质的临界量，t。</w:t>
            </w:r>
          </w:p>
          <w:p w14:paraId="45057ABE">
            <w:pPr>
              <w:adjustRightInd w:val="0"/>
              <w:snapToGrid w:val="0"/>
              <w:spacing w:line="360" w:lineRule="auto"/>
              <w:ind w:firstLine="1200" w:firstLineChars="500"/>
              <w:rPr>
                <w:sz w:val="24"/>
                <w:szCs w:val="32"/>
              </w:rPr>
            </w:pPr>
            <w:r>
              <w:rPr>
                <w:sz w:val="24"/>
                <w:szCs w:val="32"/>
              </w:rPr>
              <w:t>当Q＜1时，该项目环境风险潜势为</w:t>
            </w:r>
            <w:r>
              <w:rPr>
                <w:rFonts w:hint="eastAsia"/>
              </w:rPr>
              <w:t>I</w:t>
            </w:r>
            <w:r>
              <w:rPr>
                <w:sz w:val="24"/>
                <w:szCs w:val="32"/>
              </w:rPr>
              <w:t>。</w:t>
            </w:r>
          </w:p>
          <w:p w14:paraId="67FCED70">
            <w:pPr>
              <w:adjustRightInd w:val="0"/>
              <w:snapToGrid w:val="0"/>
              <w:spacing w:line="360" w:lineRule="auto"/>
              <w:ind w:firstLine="1200" w:firstLineChars="500"/>
              <w:rPr>
                <w:sz w:val="24"/>
                <w:szCs w:val="32"/>
              </w:rPr>
            </w:pPr>
            <w:r>
              <w:rPr>
                <w:sz w:val="24"/>
                <w:szCs w:val="32"/>
              </w:rPr>
              <w:t>当Q≥1时，将Q值划分为：（1）1≤Q＜10；（2）10≤Q＜100；（3）Q≥100。</w:t>
            </w:r>
          </w:p>
          <w:p w14:paraId="483BBD78">
            <w:pPr>
              <w:adjustRightInd w:val="0"/>
              <w:snapToGrid w:val="0"/>
              <w:spacing w:line="360" w:lineRule="auto"/>
              <w:ind w:firstLine="480" w:firstLineChars="200"/>
              <w:rPr>
                <w:sz w:val="24"/>
                <w:szCs w:val="32"/>
              </w:rPr>
            </w:pPr>
            <w:r>
              <w:rPr>
                <w:sz w:val="24"/>
                <w:szCs w:val="32"/>
              </w:rPr>
              <w:t>具体判别情况见下表。</w:t>
            </w:r>
          </w:p>
          <w:p w14:paraId="4ABE7097">
            <w:pPr>
              <w:pStyle w:val="52"/>
            </w:pPr>
            <w:r>
              <w:t>建设项目Q值确定表</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357"/>
              <w:gridCol w:w="1425"/>
              <w:gridCol w:w="1186"/>
              <w:gridCol w:w="1461"/>
              <w:gridCol w:w="1001"/>
              <w:gridCol w:w="1486"/>
            </w:tblGrid>
            <w:tr w14:paraId="136506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321" w:type="pct"/>
                  <w:tcMar>
                    <w:top w:w="15" w:type="dxa"/>
                    <w:left w:w="15" w:type="dxa"/>
                    <w:right w:w="15" w:type="dxa"/>
                  </w:tcMar>
                  <w:vAlign w:val="center"/>
                </w:tcPr>
                <w:p w14:paraId="5800CE39">
                  <w:pPr>
                    <w:pStyle w:val="54"/>
                    <w:rPr>
                      <w:b/>
                      <w:bCs/>
                    </w:rPr>
                  </w:pPr>
                  <w:r>
                    <w:rPr>
                      <w:rFonts w:hint="eastAsia"/>
                      <w:b/>
                      <w:bCs/>
                    </w:rPr>
                    <w:t>项目</w:t>
                  </w:r>
                </w:p>
              </w:tc>
              <w:tc>
                <w:tcPr>
                  <w:tcW w:w="799" w:type="pct"/>
                  <w:tcMar>
                    <w:top w:w="15" w:type="dxa"/>
                    <w:left w:w="15" w:type="dxa"/>
                    <w:right w:w="15" w:type="dxa"/>
                  </w:tcMar>
                  <w:vAlign w:val="center"/>
                </w:tcPr>
                <w:p w14:paraId="02E6CEFE">
                  <w:pPr>
                    <w:pStyle w:val="54"/>
                    <w:rPr>
                      <w:b/>
                      <w:bCs/>
                    </w:rPr>
                  </w:pPr>
                  <w:r>
                    <w:rPr>
                      <w:b/>
                      <w:bCs/>
                    </w:rPr>
                    <w:t>危险物质名称</w:t>
                  </w:r>
                </w:p>
              </w:tc>
              <w:tc>
                <w:tcPr>
                  <w:tcW w:w="665" w:type="pct"/>
                  <w:tcMar>
                    <w:top w:w="15" w:type="dxa"/>
                    <w:left w:w="15" w:type="dxa"/>
                    <w:right w:w="15" w:type="dxa"/>
                  </w:tcMar>
                  <w:vAlign w:val="center"/>
                </w:tcPr>
                <w:p w14:paraId="4DEDF5A8">
                  <w:pPr>
                    <w:pStyle w:val="54"/>
                    <w:rPr>
                      <w:b/>
                      <w:bCs/>
                    </w:rPr>
                  </w:pPr>
                  <w:r>
                    <w:rPr>
                      <w:b/>
                      <w:bCs/>
                    </w:rPr>
                    <w:t>CAS号</w:t>
                  </w:r>
                </w:p>
              </w:tc>
              <w:tc>
                <w:tcPr>
                  <w:tcW w:w="819" w:type="pct"/>
                  <w:tcMar>
                    <w:top w:w="15" w:type="dxa"/>
                    <w:left w:w="15" w:type="dxa"/>
                    <w:right w:w="15" w:type="dxa"/>
                  </w:tcMar>
                  <w:vAlign w:val="center"/>
                </w:tcPr>
                <w:p w14:paraId="77363CB0">
                  <w:pPr>
                    <w:pStyle w:val="54"/>
                    <w:rPr>
                      <w:b/>
                      <w:bCs/>
                    </w:rPr>
                  </w:pPr>
                  <w:r>
                    <w:rPr>
                      <w:b/>
                      <w:bCs/>
                    </w:rPr>
                    <w:t>最大存在总量qn/t</w:t>
                  </w:r>
                </w:p>
              </w:tc>
              <w:tc>
                <w:tcPr>
                  <w:tcW w:w="561" w:type="pct"/>
                  <w:tcMar>
                    <w:top w:w="15" w:type="dxa"/>
                    <w:left w:w="15" w:type="dxa"/>
                    <w:right w:w="15" w:type="dxa"/>
                  </w:tcMar>
                  <w:vAlign w:val="center"/>
                </w:tcPr>
                <w:p w14:paraId="372C59B2">
                  <w:pPr>
                    <w:pStyle w:val="54"/>
                    <w:rPr>
                      <w:b/>
                      <w:bCs/>
                    </w:rPr>
                  </w:pPr>
                  <w:r>
                    <w:rPr>
                      <w:b/>
                      <w:bCs/>
                    </w:rPr>
                    <w:t>临界量Qn/t</w:t>
                  </w:r>
                </w:p>
              </w:tc>
              <w:tc>
                <w:tcPr>
                  <w:tcW w:w="833" w:type="pct"/>
                  <w:tcMar>
                    <w:top w:w="15" w:type="dxa"/>
                    <w:left w:w="15" w:type="dxa"/>
                    <w:right w:w="15" w:type="dxa"/>
                  </w:tcMar>
                  <w:vAlign w:val="center"/>
                </w:tcPr>
                <w:p w14:paraId="0D09AB06">
                  <w:pPr>
                    <w:pStyle w:val="54"/>
                    <w:rPr>
                      <w:b/>
                      <w:bCs/>
                    </w:rPr>
                  </w:pPr>
                  <w:r>
                    <w:rPr>
                      <w:b/>
                      <w:bCs/>
                    </w:rPr>
                    <w:t>该种危险物质Q值</w:t>
                  </w:r>
                </w:p>
              </w:tc>
            </w:tr>
            <w:tr w14:paraId="41ED5B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321" w:type="pct"/>
                  <w:vMerge w:val="restart"/>
                  <w:tcMar>
                    <w:top w:w="15" w:type="dxa"/>
                    <w:left w:w="15" w:type="dxa"/>
                    <w:right w:w="15" w:type="dxa"/>
                  </w:tcMar>
                  <w:vAlign w:val="center"/>
                </w:tcPr>
                <w:p w14:paraId="74F17304">
                  <w:pPr>
                    <w:pStyle w:val="38"/>
                    <w:rPr>
                      <w:rFonts w:hint="eastAsia" w:eastAsia="宋体"/>
                      <w:lang w:eastAsia="zh-CN"/>
                    </w:rPr>
                  </w:pPr>
                  <w:r>
                    <w:rPr>
                      <w:rFonts w:hint="eastAsia"/>
                      <w:lang w:eastAsia="zh-CN"/>
                    </w:rPr>
                    <w:t>宁都县青塘镇污水处理厂工程</w:t>
                  </w:r>
                </w:p>
              </w:tc>
              <w:tc>
                <w:tcPr>
                  <w:tcW w:w="799" w:type="pct"/>
                  <w:tcMar>
                    <w:top w:w="15" w:type="dxa"/>
                    <w:left w:w="15" w:type="dxa"/>
                    <w:right w:w="15" w:type="dxa"/>
                  </w:tcMar>
                  <w:vAlign w:val="bottom"/>
                </w:tcPr>
                <w:p w14:paraId="3270DF82">
                  <w:pPr>
                    <w:pStyle w:val="38"/>
                  </w:pPr>
                  <w:r>
                    <w:rPr>
                      <w:rFonts w:hint="eastAsia"/>
                    </w:rPr>
                    <w:t>次氯酸钠</w:t>
                  </w:r>
                </w:p>
              </w:tc>
              <w:tc>
                <w:tcPr>
                  <w:tcW w:w="665" w:type="pct"/>
                  <w:tcMar>
                    <w:top w:w="15" w:type="dxa"/>
                    <w:left w:w="15" w:type="dxa"/>
                    <w:right w:w="15" w:type="dxa"/>
                  </w:tcMar>
                  <w:vAlign w:val="bottom"/>
                </w:tcPr>
                <w:p w14:paraId="7C3D02BC">
                  <w:pPr>
                    <w:pStyle w:val="38"/>
                  </w:pPr>
                  <w:r>
                    <w:t>7681-52-9</w:t>
                  </w:r>
                </w:p>
              </w:tc>
              <w:tc>
                <w:tcPr>
                  <w:tcW w:w="1461" w:type="dxa"/>
                  <w:tcMar>
                    <w:top w:w="15" w:type="dxa"/>
                    <w:left w:w="15" w:type="dxa"/>
                    <w:right w:w="15" w:type="dxa"/>
                  </w:tcMar>
                  <w:vAlign w:val="bottom"/>
                </w:tcPr>
                <w:p w14:paraId="06BBE46A">
                  <w:pPr>
                    <w:pStyle w:val="38"/>
                    <w:bidi w:val="0"/>
                  </w:pPr>
                  <w:r>
                    <w:rPr>
                      <w:rFonts w:hint="default"/>
                      <w:lang w:val="en-US" w:eastAsia="zh-CN"/>
                    </w:rPr>
                    <w:t>0.001</w:t>
                  </w:r>
                </w:p>
              </w:tc>
              <w:tc>
                <w:tcPr>
                  <w:tcW w:w="1001" w:type="dxa"/>
                  <w:tcMar>
                    <w:top w:w="15" w:type="dxa"/>
                    <w:left w:w="15" w:type="dxa"/>
                    <w:right w:w="15" w:type="dxa"/>
                  </w:tcMar>
                  <w:vAlign w:val="bottom"/>
                </w:tcPr>
                <w:p w14:paraId="27996595">
                  <w:pPr>
                    <w:pStyle w:val="38"/>
                    <w:bidi w:val="0"/>
                  </w:pPr>
                  <w:r>
                    <w:rPr>
                      <w:rFonts w:hint="default"/>
                      <w:lang w:val="en-US" w:eastAsia="zh-CN"/>
                    </w:rPr>
                    <w:t>5</w:t>
                  </w:r>
                </w:p>
              </w:tc>
              <w:tc>
                <w:tcPr>
                  <w:tcW w:w="1486" w:type="dxa"/>
                  <w:tcMar>
                    <w:top w:w="15" w:type="dxa"/>
                    <w:left w:w="15" w:type="dxa"/>
                    <w:right w:w="15" w:type="dxa"/>
                  </w:tcMar>
                  <w:vAlign w:val="bottom"/>
                </w:tcPr>
                <w:p w14:paraId="3B642E41">
                  <w:pPr>
                    <w:pStyle w:val="38"/>
                    <w:bidi w:val="0"/>
                  </w:pPr>
                  <w:r>
                    <w:rPr>
                      <w:rFonts w:hint="default"/>
                      <w:lang w:val="en-US" w:eastAsia="zh-CN"/>
                    </w:rPr>
                    <w:t>0.0002</w:t>
                  </w:r>
                </w:p>
              </w:tc>
            </w:tr>
            <w:tr w14:paraId="7C8B86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321" w:type="pct"/>
                  <w:vMerge w:val="continue"/>
                  <w:tcMar>
                    <w:top w:w="15" w:type="dxa"/>
                    <w:left w:w="15" w:type="dxa"/>
                    <w:right w:w="15" w:type="dxa"/>
                  </w:tcMar>
                  <w:vAlign w:val="center"/>
                </w:tcPr>
                <w:p w14:paraId="3B7FF279">
                  <w:pPr>
                    <w:pStyle w:val="38"/>
                  </w:pPr>
                </w:p>
              </w:tc>
              <w:tc>
                <w:tcPr>
                  <w:tcW w:w="799" w:type="pct"/>
                  <w:tcMar>
                    <w:top w:w="15" w:type="dxa"/>
                    <w:left w:w="15" w:type="dxa"/>
                    <w:right w:w="15" w:type="dxa"/>
                  </w:tcMar>
                  <w:vAlign w:val="bottom"/>
                </w:tcPr>
                <w:p w14:paraId="41FAFD9C">
                  <w:pPr>
                    <w:pStyle w:val="38"/>
                  </w:pPr>
                  <w:r>
                    <w:rPr>
                      <w:rFonts w:hint="eastAsia"/>
                    </w:rPr>
                    <w:t>废润滑油</w:t>
                  </w:r>
                </w:p>
              </w:tc>
              <w:tc>
                <w:tcPr>
                  <w:tcW w:w="665" w:type="pct"/>
                  <w:tcMar>
                    <w:top w:w="15" w:type="dxa"/>
                    <w:left w:w="15" w:type="dxa"/>
                    <w:right w:w="15" w:type="dxa"/>
                  </w:tcMar>
                  <w:vAlign w:val="bottom"/>
                </w:tcPr>
                <w:p w14:paraId="47B1D851">
                  <w:pPr>
                    <w:pStyle w:val="38"/>
                  </w:pPr>
                  <w:r>
                    <w:t>/</w:t>
                  </w:r>
                </w:p>
              </w:tc>
              <w:tc>
                <w:tcPr>
                  <w:tcW w:w="1461" w:type="dxa"/>
                  <w:tcMar>
                    <w:top w:w="15" w:type="dxa"/>
                    <w:left w:w="15" w:type="dxa"/>
                    <w:right w:w="15" w:type="dxa"/>
                  </w:tcMar>
                  <w:vAlign w:val="bottom"/>
                </w:tcPr>
                <w:p w14:paraId="7C675541">
                  <w:pPr>
                    <w:pStyle w:val="38"/>
                    <w:bidi w:val="0"/>
                  </w:pPr>
                  <w:r>
                    <w:rPr>
                      <w:rFonts w:hint="default"/>
                      <w:lang w:val="en-US" w:eastAsia="zh-CN"/>
                    </w:rPr>
                    <w:t>0.001</w:t>
                  </w:r>
                </w:p>
              </w:tc>
              <w:tc>
                <w:tcPr>
                  <w:tcW w:w="1001" w:type="dxa"/>
                  <w:tcMar>
                    <w:top w:w="15" w:type="dxa"/>
                    <w:left w:w="15" w:type="dxa"/>
                    <w:right w:w="15" w:type="dxa"/>
                  </w:tcMar>
                  <w:vAlign w:val="bottom"/>
                </w:tcPr>
                <w:p w14:paraId="4E492878">
                  <w:pPr>
                    <w:pStyle w:val="38"/>
                    <w:bidi w:val="0"/>
                  </w:pPr>
                  <w:r>
                    <w:rPr>
                      <w:rFonts w:hint="default"/>
                      <w:lang w:val="en-US" w:eastAsia="zh-CN"/>
                    </w:rPr>
                    <w:t>2500</w:t>
                  </w:r>
                </w:p>
              </w:tc>
              <w:tc>
                <w:tcPr>
                  <w:tcW w:w="1486" w:type="dxa"/>
                  <w:tcMar>
                    <w:top w:w="15" w:type="dxa"/>
                    <w:left w:w="15" w:type="dxa"/>
                    <w:right w:w="15" w:type="dxa"/>
                  </w:tcMar>
                  <w:vAlign w:val="bottom"/>
                </w:tcPr>
                <w:p w14:paraId="7A4DD0CD">
                  <w:pPr>
                    <w:pStyle w:val="38"/>
                    <w:bidi w:val="0"/>
                  </w:pPr>
                  <w:r>
                    <w:rPr>
                      <w:rFonts w:hint="default"/>
                      <w:lang w:val="en-US" w:eastAsia="zh-CN"/>
                    </w:rPr>
                    <w:t>0.0000004</w:t>
                  </w:r>
                </w:p>
              </w:tc>
            </w:tr>
            <w:tr w14:paraId="44916E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1321" w:type="pct"/>
                  <w:vMerge w:val="continue"/>
                  <w:tcMar>
                    <w:top w:w="15" w:type="dxa"/>
                    <w:left w:w="15" w:type="dxa"/>
                    <w:right w:w="15" w:type="dxa"/>
                  </w:tcMar>
                  <w:vAlign w:val="center"/>
                </w:tcPr>
                <w:p w14:paraId="16AC94D2">
                  <w:pPr>
                    <w:pStyle w:val="38"/>
                  </w:pPr>
                </w:p>
              </w:tc>
              <w:tc>
                <w:tcPr>
                  <w:tcW w:w="2844" w:type="pct"/>
                  <w:gridSpan w:val="4"/>
                  <w:tcMar>
                    <w:top w:w="15" w:type="dxa"/>
                    <w:left w:w="15" w:type="dxa"/>
                    <w:right w:w="15" w:type="dxa"/>
                  </w:tcMar>
                  <w:vAlign w:val="bottom"/>
                </w:tcPr>
                <w:p w14:paraId="735E8F79">
                  <w:pPr>
                    <w:pStyle w:val="38"/>
                  </w:pPr>
                  <w:r>
                    <w:rPr>
                      <w:rFonts w:hint="eastAsia"/>
                    </w:rPr>
                    <w:t>项目</w:t>
                  </w:r>
                  <w:r>
                    <w:t>Q</w:t>
                  </w:r>
                  <w:r>
                    <w:rPr>
                      <w:rFonts w:hint="eastAsia"/>
                    </w:rPr>
                    <w:t>值</w:t>
                  </w:r>
                  <w:r>
                    <w:t>∑</w:t>
                  </w:r>
                </w:p>
              </w:tc>
              <w:tc>
                <w:tcPr>
                  <w:tcW w:w="833" w:type="pct"/>
                  <w:tcMar>
                    <w:top w:w="15" w:type="dxa"/>
                    <w:left w:w="15" w:type="dxa"/>
                    <w:right w:w="15" w:type="dxa"/>
                  </w:tcMar>
                  <w:vAlign w:val="bottom"/>
                </w:tcPr>
                <w:p w14:paraId="42044E35">
                  <w:pPr>
                    <w:pStyle w:val="38"/>
                    <w:rPr>
                      <w:rFonts w:hint="default" w:eastAsia="宋体"/>
                      <w:lang w:val="en-US" w:eastAsia="zh-CN"/>
                    </w:rPr>
                  </w:pPr>
                  <w:r>
                    <w:t>0.</w:t>
                  </w:r>
                  <w:r>
                    <w:rPr>
                      <w:rFonts w:hint="eastAsia"/>
                      <w:lang w:val="en-US" w:eastAsia="zh-CN"/>
                    </w:rPr>
                    <w:t>0002004</w:t>
                  </w:r>
                </w:p>
              </w:tc>
            </w:tr>
          </w:tbl>
          <w:p w14:paraId="16CC0922">
            <w:pPr>
              <w:spacing w:line="360" w:lineRule="auto"/>
              <w:ind w:firstLine="480" w:firstLineChars="200"/>
              <w:rPr>
                <w:sz w:val="24"/>
              </w:rPr>
            </w:pPr>
            <w:r>
              <w:rPr>
                <w:rFonts w:hint="eastAsia"/>
                <w:sz w:val="24"/>
              </w:rPr>
              <w:t>由上表可知，项目Q=＜1，简单分析环境风险影响即可。</w:t>
            </w:r>
          </w:p>
          <w:p w14:paraId="2D88EAF0">
            <w:pPr>
              <w:spacing w:line="360" w:lineRule="auto"/>
              <w:ind w:firstLine="482" w:firstLineChars="200"/>
              <w:rPr>
                <w:b/>
                <w:bCs/>
                <w:sz w:val="24"/>
              </w:rPr>
            </w:pPr>
            <w:r>
              <w:rPr>
                <w:rFonts w:hint="eastAsia"/>
                <w:b/>
                <w:bCs/>
                <w:sz w:val="24"/>
              </w:rPr>
              <w:t>3、环境风险识别</w:t>
            </w:r>
          </w:p>
          <w:p w14:paraId="4BC28062">
            <w:pPr>
              <w:pStyle w:val="36"/>
              <w:ind w:firstLine="480"/>
              <w:rPr>
                <w:rFonts w:hint="default"/>
              </w:rPr>
            </w:pPr>
            <w:r>
              <w:t>①物质危险性识别</w:t>
            </w:r>
          </w:p>
          <w:p w14:paraId="3139B311">
            <w:pPr>
              <w:pStyle w:val="36"/>
              <w:ind w:firstLine="480"/>
              <w:rPr>
                <w:rFonts w:hint="default"/>
              </w:rPr>
            </w:pPr>
            <w:r>
              <w:t>物质危险性识别包括主要原辅材料、燃料、中间产品、副产品、最终产品、污染物、火灾和爆炸伴生/次生物等。</w:t>
            </w:r>
          </w:p>
          <w:p w14:paraId="3A3B6145">
            <w:pPr>
              <w:pStyle w:val="36"/>
              <w:ind w:firstLine="480"/>
              <w:rPr>
                <w:rFonts w:hint="default"/>
              </w:rPr>
            </w:pPr>
            <w:r>
              <w:t>本项目运营过程中涉及生活污水、污泥、污水处理药剂（含次氯酸钠）、废润滑油等；</w:t>
            </w:r>
            <w:r>
              <w:rPr>
                <w:rFonts w:hint="eastAsia"/>
                <w:lang w:val="en-US" w:eastAsia="zh-CN"/>
              </w:rPr>
              <w:t>废气</w:t>
            </w:r>
            <w:r>
              <w:t>污染物主要包括大气污染物（硫化氢、氨）、废水污染物（COD、</w:t>
            </w:r>
            <w:r>
              <w:rPr>
                <w:rFonts w:hint="default"/>
              </w:rPr>
              <w:t>BOD</w:t>
            </w:r>
            <w:r>
              <w:rPr>
                <w:rFonts w:hint="default"/>
                <w:vertAlign w:val="subscript"/>
              </w:rPr>
              <w:t>5</w:t>
            </w:r>
            <w:r>
              <w:t>、NH</w:t>
            </w:r>
            <w:r>
              <w:rPr>
                <w:vertAlign w:val="subscript"/>
              </w:rPr>
              <w:t>3</w:t>
            </w:r>
            <w:r>
              <w:t>-N、SS）、一般工业固废等。以上物质中，硫化氢、氨、次氯酸钠属于《建设项目环境风险评价技术导则》（HJ/T169-2018）附录B中需要重点关注的环境风险物质，废润滑油Q值极低，考虑次氯酸钠为项目重点关注的危险物质。</w:t>
            </w:r>
          </w:p>
          <w:p w14:paraId="7E521FF8">
            <w:pPr>
              <w:pStyle w:val="52"/>
            </w:pPr>
            <w:r>
              <w:t>次氯酸钠理化性质及危险特性一览表</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1781"/>
              <w:gridCol w:w="1783"/>
              <w:gridCol w:w="1783"/>
              <w:gridCol w:w="3567"/>
            </w:tblGrid>
            <w:tr w14:paraId="22F146A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58EEAC7D">
                  <w:pPr>
                    <w:spacing w:line="340" w:lineRule="exact"/>
                    <w:jc w:val="center"/>
                    <w:rPr>
                      <w:b/>
                      <w:bCs/>
                      <w:szCs w:val="21"/>
                    </w:rPr>
                  </w:pPr>
                  <w:r>
                    <w:rPr>
                      <w:b/>
                      <w:bCs/>
                      <w:szCs w:val="21"/>
                    </w:rPr>
                    <w:t>CAS</w:t>
                  </w:r>
                  <w:r>
                    <w:rPr>
                      <w:rFonts w:hint="eastAsia"/>
                      <w:b/>
                      <w:bCs/>
                      <w:szCs w:val="21"/>
                    </w:rPr>
                    <w:t>号</w:t>
                  </w:r>
                </w:p>
              </w:tc>
              <w:tc>
                <w:tcPr>
                  <w:tcW w:w="4000" w:type="pct"/>
                  <w:gridSpan w:val="3"/>
                  <w:tcBorders>
                    <w:tl2br w:val="nil"/>
                    <w:tr2bl w:val="nil"/>
                  </w:tcBorders>
                  <w:vAlign w:val="center"/>
                </w:tcPr>
                <w:p w14:paraId="22BC9EEC">
                  <w:pPr>
                    <w:spacing w:line="340" w:lineRule="exact"/>
                    <w:jc w:val="center"/>
                    <w:rPr>
                      <w:szCs w:val="21"/>
                    </w:rPr>
                  </w:pPr>
                  <w:r>
                    <w:rPr>
                      <w:szCs w:val="21"/>
                    </w:rPr>
                    <w:t>7681-52-9</w:t>
                  </w:r>
                </w:p>
              </w:tc>
            </w:tr>
            <w:tr w14:paraId="7ED9B10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12FAB44A">
                  <w:pPr>
                    <w:spacing w:line="340" w:lineRule="exact"/>
                    <w:jc w:val="center"/>
                    <w:rPr>
                      <w:b/>
                      <w:bCs/>
                      <w:szCs w:val="21"/>
                    </w:rPr>
                  </w:pPr>
                  <w:r>
                    <w:rPr>
                      <w:b/>
                      <w:bCs/>
                      <w:szCs w:val="21"/>
                    </w:rPr>
                    <w:t>中文名称</w:t>
                  </w:r>
                </w:p>
              </w:tc>
              <w:tc>
                <w:tcPr>
                  <w:tcW w:w="4000" w:type="pct"/>
                  <w:gridSpan w:val="3"/>
                  <w:tcBorders>
                    <w:tl2br w:val="nil"/>
                    <w:tr2bl w:val="nil"/>
                  </w:tcBorders>
                  <w:vAlign w:val="center"/>
                </w:tcPr>
                <w:p w14:paraId="67567368">
                  <w:pPr>
                    <w:spacing w:line="340" w:lineRule="exact"/>
                    <w:jc w:val="center"/>
                    <w:rPr>
                      <w:szCs w:val="21"/>
                    </w:rPr>
                  </w:pPr>
                  <w:r>
                    <w:rPr>
                      <w:szCs w:val="21"/>
                    </w:rPr>
                    <w:t>次氯酸钠</w:t>
                  </w:r>
                </w:p>
              </w:tc>
            </w:tr>
            <w:tr w14:paraId="6EA7E90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031687BD">
                  <w:pPr>
                    <w:spacing w:line="340" w:lineRule="exact"/>
                    <w:jc w:val="center"/>
                    <w:rPr>
                      <w:b/>
                      <w:bCs/>
                      <w:szCs w:val="21"/>
                    </w:rPr>
                  </w:pPr>
                  <w:r>
                    <w:rPr>
                      <w:b/>
                      <w:bCs/>
                      <w:szCs w:val="21"/>
                    </w:rPr>
                    <w:t>分子式</w:t>
                  </w:r>
                </w:p>
              </w:tc>
              <w:tc>
                <w:tcPr>
                  <w:tcW w:w="1000" w:type="pct"/>
                  <w:tcBorders>
                    <w:tl2br w:val="nil"/>
                    <w:tr2bl w:val="nil"/>
                  </w:tcBorders>
                  <w:vAlign w:val="center"/>
                </w:tcPr>
                <w:p w14:paraId="734C139A">
                  <w:pPr>
                    <w:spacing w:line="340" w:lineRule="exact"/>
                    <w:jc w:val="center"/>
                    <w:rPr>
                      <w:szCs w:val="21"/>
                    </w:rPr>
                  </w:pPr>
                  <w:r>
                    <w:rPr>
                      <w:szCs w:val="21"/>
                    </w:rPr>
                    <w:t>NaClO</w:t>
                  </w:r>
                </w:p>
              </w:tc>
              <w:tc>
                <w:tcPr>
                  <w:tcW w:w="1000" w:type="pct"/>
                  <w:tcBorders>
                    <w:tl2br w:val="nil"/>
                    <w:tr2bl w:val="nil"/>
                  </w:tcBorders>
                  <w:vAlign w:val="center"/>
                </w:tcPr>
                <w:p w14:paraId="1145ED68">
                  <w:pPr>
                    <w:spacing w:line="340" w:lineRule="exact"/>
                    <w:jc w:val="center"/>
                    <w:rPr>
                      <w:szCs w:val="21"/>
                    </w:rPr>
                  </w:pPr>
                  <w:r>
                    <w:rPr>
                      <w:szCs w:val="21"/>
                    </w:rPr>
                    <w:t>外观与性状</w:t>
                  </w:r>
                </w:p>
              </w:tc>
              <w:tc>
                <w:tcPr>
                  <w:tcW w:w="2000" w:type="pct"/>
                  <w:tcBorders>
                    <w:tl2br w:val="nil"/>
                    <w:tr2bl w:val="nil"/>
                  </w:tcBorders>
                  <w:vAlign w:val="center"/>
                </w:tcPr>
                <w:p w14:paraId="5BA977B3">
                  <w:pPr>
                    <w:spacing w:line="340" w:lineRule="exact"/>
                    <w:jc w:val="center"/>
                    <w:rPr>
                      <w:szCs w:val="21"/>
                    </w:rPr>
                  </w:pPr>
                  <w:r>
                    <w:rPr>
                      <w:szCs w:val="21"/>
                    </w:rPr>
                    <w:t>微黄色溶液，有似氯气的气味</w:t>
                  </w:r>
                </w:p>
              </w:tc>
            </w:tr>
            <w:tr w14:paraId="4F083AD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6BD97EFD">
                  <w:pPr>
                    <w:spacing w:line="340" w:lineRule="exact"/>
                    <w:jc w:val="center"/>
                    <w:rPr>
                      <w:b/>
                      <w:bCs/>
                      <w:szCs w:val="21"/>
                    </w:rPr>
                  </w:pPr>
                  <w:r>
                    <w:rPr>
                      <w:b/>
                      <w:bCs/>
                      <w:szCs w:val="21"/>
                    </w:rPr>
                    <w:t>分子量</w:t>
                  </w:r>
                </w:p>
              </w:tc>
              <w:tc>
                <w:tcPr>
                  <w:tcW w:w="1000" w:type="pct"/>
                  <w:tcBorders>
                    <w:tl2br w:val="nil"/>
                    <w:tr2bl w:val="nil"/>
                  </w:tcBorders>
                  <w:vAlign w:val="center"/>
                </w:tcPr>
                <w:p w14:paraId="7F0A7756">
                  <w:pPr>
                    <w:spacing w:line="340" w:lineRule="exact"/>
                    <w:jc w:val="center"/>
                    <w:rPr>
                      <w:szCs w:val="21"/>
                    </w:rPr>
                  </w:pPr>
                  <w:r>
                    <w:rPr>
                      <w:szCs w:val="21"/>
                    </w:rPr>
                    <w:t>74.44</w:t>
                  </w:r>
                </w:p>
              </w:tc>
              <w:tc>
                <w:tcPr>
                  <w:tcW w:w="1000" w:type="pct"/>
                  <w:tcBorders>
                    <w:tl2br w:val="nil"/>
                    <w:tr2bl w:val="nil"/>
                  </w:tcBorders>
                  <w:vAlign w:val="center"/>
                </w:tcPr>
                <w:p w14:paraId="44DA8119">
                  <w:pPr>
                    <w:spacing w:line="340" w:lineRule="exact"/>
                    <w:jc w:val="center"/>
                    <w:rPr>
                      <w:szCs w:val="21"/>
                    </w:rPr>
                  </w:pPr>
                  <w:r>
                    <w:rPr>
                      <w:szCs w:val="21"/>
                    </w:rPr>
                    <w:t>闪点</w:t>
                  </w:r>
                </w:p>
              </w:tc>
              <w:tc>
                <w:tcPr>
                  <w:tcW w:w="2000" w:type="pct"/>
                  <w:tcBorders>
                    <w:tl2br w:val="nil"/>
                    <w:tr2bl w:val="nil"/>
                  </w:tcBorders>
                  <w:vAlign w:val="center"/>
                </w:tcPr>
                <w:p w14:paraId="7930D001">
                  <w:pPr>
                    <w:spacing w:line="340" w:lineRule="exact"/>
                    <w:jc w:val="center"/>
                    <w:rPr>
                      <w:szCs w:val="21"/>
                    </w:rPr>
                  </w:pPr>
                  <w:r>
                    <w:rPr>
                      <w:szCs w:val="21"/>
                    </w:rPr>
                    <w:t>无意义</w:t>
                  </w:r>
                </w:p>
              </w:tc>
            </w:tr>
            <w:tr w14:paraId="7409D7E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2B497C1B">
                  <w:pPr>
                    <w:spacing w:line="340" w:lineRule="exact"/>
                    <w:jc w:val="center"/>
                    <w:rPr>
                      <w:b/>
                      <w:bCs/>
                      <w:szCs w:val="21"/>
                    </w:rPr>
                  </w:pPr>
                  <w:r>
                    <w:rPr>
                      <w:b/>
                      <w:bCs/>
                      <w:szCs w:val="21"/>
                    </w:rPr>
                    <w:t>熔点</w:t>
                  </w:r>
                </w:p>
              </w:tc>
              <w:tc>
                <w:tcPr>
                  <w:tcW w:w="1000" w:type="pct"/>
                  <w:tcBorders>
                    <w:tl2br w:val="nil"/>
                    <w:tr2bl w:val="nil"/>
                  </w:tcBorders>
                  <w:vAlign w:val="center"/>
                </w:tcPr>
                <w:p w14:paraId="17756055">
                  <w:pPr>
                    <w:spacing w:line="340" w:lineRule="exact"/>
                    <w:jc w:val="center"/>
                    <w:rPr>
                      <w:szCs w:val="21"/>
                    </w:rPr>
                  </w:pPr>
                  <w:r>
                    <w:rPr>
                      <w:szCs w:val="21"/>
                    </w:rPr>
                    <w:t>-6℃</w:t>
                  </w:r>
                </w:p>
              </w:tc>
              <w:tc>
                <w:tcPr>
                  <w:tcW w:w="1000" w:type="pct"/>
                  <w:tcBorders>
                    <w:tl2br w:val="nil"/>
                    <w:tr2bl w:val="nil"/>
                  </w:tcBorders>
                  <w:vAlign w:val="center"/>
                </w:tcPr>
                <w:p w14:paraId="6FFE4276">
                  <w:pPr>
                    <w:spacing w:line="340" w:lineRule="exact"/>
                    <w:jc w:val="center"/>
                    <w:rPr>
                      <w:szCs w:val="21"/>
                    </w:rPr>
                  </w:pPr>
                  <w:r>
                    <w:rPr>
                      <w:szCs w:val="21"/>
                    </w:rPr>
                    <w:t>溶解性</w:t>
                  </w:r>
                </w:p>
              </w:tc>
              <w:tc>
                <w:tcPr>
                  <w:tcW w:w="2000" w:type="pct"/>
                  <w:tcBorders>
                    <w:tl2br w:val="nil"/>
                    <w:tr2bl w:val="nil"/>
                  </w:tcBorders>
                  <w:vAlign w:val="center"/>
                </w:tcPr>
                <w:p w14:paraId="3A4FE3C3">
                  <w:pPr>
                    <w:spacing w:line="340" w:lineRule="exact"/>
                    <w:jc w:val="center"/>
                    <w:rPr>
                      <w:szCs w:val="21"/>
                    </w:rPr>
                  </w:pPr>
                  <w:r>
                    <w:rPr>
                      <w:szCs w:val="21"/>
                    </w:rPr>
                    <w:t>溶于水</w:t>
                  </w:r>
                </w:p>
              </w:tc>
            </w:tr>
            <w:tr w14:paraId="77C5D03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289A4BF2">
                  <w:pPr>
                    <w:spacing w:line="340" w:lineRule="exact"/>
                    <w:jc w:val="center"/>
                    <w:rPr>
                      <w:b/>
                      <w:bCs/>
                      <w:szCs w:val="21"/>
                    </w:rPr>
                  </w:pPr>
                  <w:r>
                    <w:rPr>
                      <w:b/>
                      <w:bCs/>
                      <w:szCs w:val="21"/>
                    </w:rPr>
                    <w:t>沸点</w:t>
                  </w:r>
                </w:p>
              </w:tc>
              <w:tc>
                <w:tcPr>
                  <w:tcW w:w="1000" w:type="pct"/>
                  <w:tcBorders>
                    <w:tl2br w:val="nil"/>
                    <w:tr2bl w:val="nil"/>
                  </w:tcBorders>
                  <w:vAlign w:val="center"/>
                </w:tcPr>
                <w:p w14:paraId="6431F0FE">
                  <w:pPr>
                    <w:spacing w:line="340" w:lineRule="exact"/>
                    <w:jc w:val="center"/>
                    <w:rPr>
                      <w:szCs w:val="21"/>
                    </w:rPr>
                  </w:pPr>
                  <w:r>
                    <w:rPr>
                      <w:szCs w:val="21"/>
                    </w:rPr>
                    <w:t>102.2℃</w:t>
                  </w:r>
                </w:p>
              </w:tc>
              <w:tc>
                <w:tcPr>
                  <w:tcW w:w="1000" w:type="pct"/>
                  <w:tcBorders>
                    <w:tl2br w:val="nil"/>
                    <w:tr2bl w:val="nil"/>
                  </w:tcBorders>
                  <w:vAlign w:val="center"/>
                </w:tcPr>
                <w:p w14:paraId="09A5526F">
                  <w:pPr>
                    <w:spacing w:line="340" w:lineRule="exact"/>
                    <w:jc w:val="center"/>
                    <w:rPr>
                      <w:szCs w:val="21"/>
                    </w:rPr>
                  </w:pPr>
                  <w:r>
                    <w:rPr>
                      <w:szCs w:val="21"/>
                    </w:rPr>
                    <w:t>稳定性</w:t>
                  </w:r>
                </w:p>
              </w:tc>
              <w:tc>
                <w:tcPr>
                  <w:tcW w:w="2000" w:type="pct"/>
                  <w:tcBorders>
                    <w:tl2br w:val="nil"/>
                    <w:tr2bl w:val="nil"/>
                  </w:tcBorders>
                  <w:vAlign w:val="center"/>
                </w:tcPr>
                <w:p w14:paraId="51D6C5E7">
                  <w:pPr>
                    <w:spacing w:line="340" w:lineRule="exact"/>
                    <w:jc w:val="center"/>
                    <w:rPr>
                      <w:szCs w:val="21"/>
                    </w:rPr>
                  </w:pPr>
                  <w:r>
                    <w:rPr>
                      <w:szCs w:val="21"/>
                    </w:rPr>
                    <w:t>不稳定</w:t>
                  </w:r>
                </w:p>
              </w:tc>
            </w:tr>
            <w:tr w14:paraId="1B13AEF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09E4017A">
                  <w:pPr>
                    <w:spacing w:line="340" w:lineRule="exact"/>
                    <w:jc w:val="center"/>
                    <w:rPr>
                      <w:b/>
                      <w:bCs/>
                      <w:szCs w:val="21"/>
                    </w:rPr>
                  </w:pPr>
                  <w:r>
                    <w:rPr>
                      <w:b/>
                      <w:bCs/>
                      <w:szCs w:val="21"/>
                    </w:rPr>
                    <w:t>相对密度</w:t>
                  </w:r>
                </w:p>
              </w:tc>
              <w:tc>
                <w:tcPr>
                  <w:tcW w:w="1000" w:type="pct"/>
                  <w:tcBorders>
                    <w:tl2br w:val="nil"/>
                    <w:tr2bl w:val="nil"/>
                  </w:tcBorders>
                  <w:vAlign w:val="center"/>
                </w:tcPr>
                <w:p w14:paraId="62D30792">
                  <w:pPr>
                    <w:spacing w:line="340" w:lineRule="exact"/>
                    <w:jc w:val="center"/>
                    <w:rPr>
                      <w:szCs w:val="21"/>
                    </w:rPr>
                  </w:pPr>
                  <w:r>
                    <w:rPr>
                      <w:szCs w:val="21"/>
                    </w:rPr>
                    <w:t>1.21（10%</w:t>
                  </w:r>
                  <w:r>
                    <w:rPr>
                      <w:rFonts w:hint="eastAsia"/>
                      <w:szCs w:val="21"/>
                    </w:rPr>
                    <w:t>）</w:t>
                  </w:r>
                </w:p>
              </w:tc>
              <w:tc>
                <w:tcPr>
                  <w:tcW w:w="1000" w:type="pct"/>
                  <w:tcBorders>
                    <w:tl2br w:val="nil"/>
                    <w:tr2bl w:val="nil"/>
                  </w:tcBorders>
                  <w:vAlign w:val="center"/>
                </w:tcPr>
                <w:p w14:paraId="353DA4EB">
                  <w:pPr>
                    <w:spacing w:line="340" w:lineRule="exact"/>
                    <w:jc w:val="center"/>
                    <w:rPr>
                      <w:szCs w:val="21"/>
                    </w:rPr>
                  </w:pPr>
                  <w:r>
                    <w:rPr>
                      <w:szCs w:val="21"/>
                    </w:rPr>
                    <w:t>主要用途</w:t>
                  </w:r>
                </w:p>
              </w:tc>
              <w:tc>
                <w:tcPr>
                  <w:tcW w:w="2000" w:type="pct"/>
                  <w:tcBorders>
                    <w:tl2br w:val="nil"/>
                    <w:tr2bl w:val="nil"/>
                  </w:tcBorders>
                  <w:vAlign w:val="center"/>
                </w:tcPr>
                <w:p w14:paraId="40FFE872">
                  <w:pPr>
                    <w:spacing w:line="340" w:lineRule="exact"/>
                    <w:jc w:val="center"/>
                    <w:rPr>
                      <w:szCs w:val="21"/>
                    </w:rPr>
                  </w:pPr>
                  <w:r>
                    <w:rPr>
                      <w:szCs w:val="21"/>
                    </w:rPr>
                    <w:t>水的净化，作消毒剂、纸浆漂白，医药工业中用制氯胺</w:t>
                  </w:r>
                </w:p>
              </w:tc>
            </w:tr>
            <w:tr w14:paraId="4308A42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6C8E7A87">
                  <w:pPr>
                    <w:spacing w:line="340" w:lineRule="exact"/>
                    <w:jc w:val="center"/>
                    <w:rPr>
                      <w:b/>
                      <w:bCs/>
                      <w:szCs w:val="21"/>
                    </w:rPr>
                  </w:pPr>
                  <w:r>
                    <w:rPr>
                      <w:b/>
                      <w:bCs/>
                      <w:szCs w:val="21"/>
                    </w:rPr>
                    <w:t>危险标记</w:t>
                  </w:r>
                </w:p>
              </w:tc>
              <w:tc>
                <w:tcPr>
                  <w:tcW w:w="1000" w:type="pct"/>
                  <w:tcBorders>
                    <w:tl2br w:val="nil"/>
                    <w:tr2bl w:val="nil"/>
                  </w:tcBorders>
                  <w:vAlign w:val="center"/>
                </w:tcPr>
                <w:p w14:paraId="5577778E">
                  <w:pPr>
                    <w:spacing w:line="340" w:lineRule="exact"/>
                    <w:jc w:val="center"/>
                    <w:rPr>
                      <w:szCs w:val="21"/>
                    </w:rPr>
                  </w:pPr>
                  <w:r>
                    <w:rPr>
                      <w:szCs w:val="21"/>
                    </w:rPr>
                    <w:t>腐蚀性</w:t>
                  </w:r>
                </w:p>
              </w:tc>
              <w:tc>
                <w:tcPr>
                  <w:tcW w:w="1000" w:type="pct"/>
                  <w:tcBorders>
                    <w:tl2br w:val="nil"/>
                    <w:tr2bl w:val="nil"/>
                  </w:tcBorders>
                  <w:vAlign w:val="center"/>
                </w:tcPr>
                <w:p w14:paraId="32167B0C">
                  <w:pPr>
                    <w:spacing w:line="340" w:lineRule="exact"/>
                    <w:jc w:val="center"/>
                    <w:rPr>
                      <w:szCs w:val="21"/>
                    </w:rPr>
                  </w:pPr>
                  <w:r>
                    <w:rPr>
                      <w:rFonts w:hint="eastAsia"/>
                      <w:szCs w:val="21"/>
                    </w:rPr>
                    <w:t>/</w:t>
                  </w:r>
                </w:p>
              </w:tc>
              <w:tc>
                <w:tcPr>
                  <w:tcW w:w="2000" w:type="pct"/>
                  <w:tcBorders>
                    <w:tl2br w:val="nil"/>
                    <w:tr2bl w:val="nil"/>
                  </w:tcBorders>
                  <w:vAlign w:val="center"/>
                </w:tcPr>
                <w:p w14:paraId="3BE935B6">
                  <w:pPr>
                    <w:spacing w:line="340" w:lineRule="exact"/>
                    <w:jc w:val="center"/>
                    <w:rPr>
                      <w:szCs w:val="21"/>
                    </w:rPr>
                  </w:pPr>
                  <w:r>
                    <w:rPr>
                      <w:rFonts w:hint="eastAsia"/>
                      <w:szCs w:val="21"/>
                    </w:rPr>
                    <w:t>/</w:t>
                  </w:r>
                </w:p>
              </w:tc>
            </w:tr>
            <w:tr w14:paraId="194F511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050C6959">
                  <w:pPr>
                    <w:spacing w:line="340" w:lineRule="exact"/>
                    <w:jc w:val="center"/>
                    <w:rPr>
                      <w:b/>
                      <w:bCs/>
                      <w:szCs w:val="21"/>
                    </w:rPr>
                  </w:pPr>
                  <w:r>
                    <w:rPr>
                      <w:b/>
                      <w:bCs/>
                      <w:szCs w:val="21"/>
                    </w:rPr>
                    <w:t>健康危害</w:t>
                  </w:r>
                </w:p>
              </w:tc>
              <w:tc>
                <w:tcPr>
                  <w:tcW w:w="4000" w:type="pct"/>
                  <w:gridSpan w:val="3"/>
                  <w:tcBorders>
                    <w:tl2br w:val="nil"/>
                    <w:tr2bl w:val="nil"/>
                  </w:tcBorders>
                  <w:vAlign w:val="center"/>
                </w:tcPr>
                <w:p w14:paraId="6AF6D8C0">
                  <w:pPr>
                    <w:spacing w:line="340" w:lineRule="exact"/>
                    <w:jc w:val="center"/>
                    <w:rPr>
                      <w:szCs w:val="21"/>
                    </w:rPr>
                  </w:pPr>
                  <w:r>
                    <w:rPr>
                      <w:szCs w:val="21"/>
                    </w:rPr>
                    <w:t>侵入途径：吸入、食入、皮肤接触吸收。</w:t>
                  </w:r>
                </w:p>
                <w:p w14:paraId="6007DFD6">
                  <w:pPr>
                    <w:spacing w:line="340" w:lineRule="exact"/>
                    <w:jc w:val="center"/>
                    <w:rPr>
                      <w:szCs w:val="21"/>
                    </w:rPr>
                  </w:pPr>
                  <w:r>
                    <w:rPr>
                      <w:szCs w:val="21"/>
                    </w:rPr>
                    <w:t>健康危害：经常用手接触本品的工人，手掌大量出汗，指甲变薄，毛发脱落。本品有致敏作用。本品放出的氯气有可能引起中毒。</w:t>
                  </w:r>
                </w:p>
              </w:tc>
            </w:tr>
          </w:tbl>
          <w:p w14:paraId="0318F4CE">
            <w:pPr>
              <w:pStyle w:val="52"/>
              <w:bidi w:val="0"/>
              <w:rPr>
                <w:lang w:val="en-US" w:eastAsia="en-US"/>
              </w:rPr>
            </w:pPr>
            <w:r>
              <w:rPr>
                <w:lang w:val="en-US" w:eastAsia="en-US"/>
              </w:rPr>
              <w:t>氨理化性质及危险特性一览表</w:t>
            </w:r>
          </w:p>
          <w:tbl>
            <w:tblPr>
              <w:tblStyle w:val="129"/>
              <w:tblW w:w="850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702"/>
              <w:gridCol w:w="1420"/>
              <w:gridCol w:w="1983"/>
              <w:gridCol w:w="3404"/>
            </w:tblGrid>
            <w:tr w14:paraId="0E01E5FE">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127AE65A">
                  <w:pPr>
                    <w:pStyle w:val="38"/>
                    <w:bidi w:val="0"/>
                    <w:ind w:left="0" w:leftChars="0" w:right="0" w:rightChars="0" w:firstLine="0" w:firstLineChars="0"/>
                    <w:jc w:val="center"/>
                    <w:rPr>
                      <w:b/>
                      <w:bCs/>
                      <w:lang w:val="en-US" w:eastAsia="en-US"/>
                    </w:rPr>
                  </w:pPr>
                  <w:r>
                    <w:rPr>
                      <w:b/>
                      <w:bCs/>
                      <w:lang w:val="en-US" w:eastAsia="en-US"/>
                    </w:rPr>
                    <w:t>CAS 号</w:t>
                  </w:r>
                </w:p>
              </w:tc>
              <w:tc>
                <w:tcPr>
                  <w:tcW w:w="6807" w:type="dxa"/>
                  <w:gridSpan w:val="3"/>
                  <w:tcBorders>
                    <w:tl2br w:val="nil"/>
                    <w:tr2bl w:val="nil"/>
                  </w:tcBorders>
                  <w:vAlign w:val="center"/>
                </w:tcPr>
                <w:p w14:paraId="02A87C53">
                  <w:pPr>
                    <w:pStyle w:val="38"/>
                    <w:bidi w:val="0"/>
                    <w:ind w:left="0" w:leftChars="0" w:right="0" w:rightChars="0" w:firstLine="0" w:firstLineChars="0"/>
                    <w:jc w:val="center"/>
                    <w:rPr>
                      <w:lang w:eastAsia="en-US"/>
                    </w:rPr>
                  </w:pPr>
                  <w:r>
                    <w:rPr>
                      <w:lang w:eastAsia="en-US"/>
                    </w:rPr>
                    <w:t>7664-41-7</w:t>
                  </w:r>
                </w:p>
              </w:tc>
            </w:tr>
            <w:tr w14:paraId="41D1D26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102F902E">
                  <w:pPr>
                    <w:pStyle w:val="38"/>
                    <w:bidi w:val="0"/>
                    <w:ind w:left="0" w:leftChars="0" w:right="0" w:rightChars="0" w:firstLine="0" w:firstLineChars="0"/>
                    <w:jc w:val="center"/>
                    <w:rPr>
                      <w:b/>
                      <w:bCs/>
                      <w:lang w:val="en-US" w:eastAsia="en-US"/>
                    </w:rPr>
                  </w:pPr>
                  <w:r>
                    <w:rPr>
                      <w:b/>
                      <w:bCs/>
                      <w:lang w:val="en-US" w:eastAsia="en-US"/>
                    </w:rPr>
                    <w:t>中文名称</w:t>
                  </w:r>
                </w:p>
              </w:tc>
              <w:tc>
                <w:tcPr>
                  <w:tcW w:w="6807" w:type="dxa"/>
                  <w:gridSpan w:val="3"/>
                  <w:tcBorders>
                    <w:tl2br w:val="nil"/>
                    <w:tr2bl w:val="nil"/>
                  </w:tcBorders>
                  <w:vAlign w:val="center"/>
                </w:tcPr>
                <w:p w14:paraId="2E2FE048">
                  <w:pPr>
                    <w:pStyle w:val="38"/>
                    <w:bidi w:val="0"/>
                    <w:ind w:left="0" w:leftChars="0" w:right="0" w:rightChars="0" w:firstLine="0" w:firstLineChars="0"/>
                    <w:jc w:val="center"/>
                    <w:rPr>
                      <w:lang w:val="en-US" w:eastAsia="en-US"/>
                    </w:rPr>
                  </w:pPr>
                  <w:r>
                    <w:rPr>
                      <w:lang w:val="en-US" w:eastAsia="en-US"/>
                    </w:rPr>
                    <w:t>氨气</w:t>
                  </w:r>
                </w:p>
              </w:tc>
            </w:tr>
            <w:tr w14:paraId="365D8D8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24458A07">
                  <w:pPr>
                    <w:pStyle w:val="38"/>
                    <w:bidi w:val="0"/>
                    <w:ind w:left="0" w:leftChars="0" w:right="0" w:rightChars="0" w:firstLine="0" w:firstLineChars="0"/>
                    <w:jc w:val="center"/>
                    <w:rPr>
                      <w:b/>
                      <w:bCs/>
                      <w:lang w:val="en-US" w:eastAsia="en-US"/>
                    </w:rPr>
                  </w:pPr>
                  <w:r>
                    <w:rPr>
                      <w:b/>
                      <w:bCs/>
                      <w:lang w:val="en-US" w:eastAsia="en-US"/>
                    </w:rPr>
                    <w:t>分子式</w:t>
                  </w:r>
                </w:p>
              </w:tc>
              <w:tc>
                <w:tcPr>
                  <w:tcW w:w="1420" w:type="dxa"/>
                  <w:tcBorders>
                    <w:tl2br w:val="nil"/>
                    <w:tr2bl w:val="nil"/>
                  </w:tcBorders>
                  <w:vAlign w:val="center"/>
                </w:tcPr>
                <w:p w14:paraId="5E945BAE">
                  <w:pPr>
                    <w:pStyle w:val="38"/>
                    <w:bidi w:val="0"/>
                    <w:ind w:left="0" w:leftChars="0" w:right="0" w:rightChars="0" w:firstLine="0" w:firstLineChars="0"/>
                    <w:jc w:val="center"/>
                    <w:rPr>
                      <w:lang w:eastAsia="en-US"/>
                    </w:rPr>
                  </w:pPr>
                  <w:r>
                    <w:rPr>
                      <w:lang w:eastAsia="en-US"/>
                    </w:rPr>
                    <w:t>NH3</w:t>
                  </w:r>
                </w:p>
              </w:tc>
              <w:tc>
                <w:tcPr>
                  <w:tcW w:w="1983" w:type="dxa"/>
                  <w:tcBorders>
                    <w:tl2br w:val="nil"/>
                    <w:tr2bl w:val="nil"/>
                  </w:tcBorders>
                  <w:vAlign w:val="center"/>
                </w:tcPr>
                <w:p w14:paraId="454EBC6C">
                  <w:pPr>
                    <w:pStyle w:val="38"/>
                    <w:bidi w:val="0"/>
                    <w:ind w:left="0" w:leftChars="0" w:right="0" w:rightChars="0" w:firstLine="0" w:firstLineChars="0"/>
                    <w:jc w:val="center"/>
                    <w:rPr>
                      <w:lang w:val="en-US" w:eastAsia="en-US"/>
                    </w:rPr>
                  </w:pPr>
                  <w:r>
                    <w:rPr>
                      <w:lang w:val="en-US" w:eastAsia="en-US"/>
                    </w:rPr>
                    <w:t>外观与性状</w:t>
                  </w:r>
                </w:p>
              </w:tc>
              <w:tc>
                <w:tcPr>
                  <w:tcW w:w="3404" w:type="dxa"/>
                  <w:tcBorders>
                    <w:tl2br w:val="nil"/>
                    <w:tr2bl w:val="nil"/>
                  </w:tcBorders>
                  <w:vAlign w:val="center"/>
                </w:tcPr>
                <w:p w14:paraId="0C43CD86">
                  <w:pPr>
                    <w:pStyle w:val="38"/>
                    <w:bidi w:val="0"/>
                    <w:ind w:left="0" w:leftChars="0" w:right="0" w:rightChars="0" w:firstLine="0" w:firstLineChars="0"/>
                    <w:jc w:val="center"/>
                    <w:rPr>
                      <w:lang w:val="en-US" w:eastAsia="en-US"/>
                    </w:rPr>
                  </w:pPr>
                  <w:r>
                    <w:rPr>
                      <w:lang w:val="en-US" w:eastAsia="en-US"/>
                    </w:rPr>
                    <w:t>无色有刺激性恶臭气体，在适当压 力下可液化成液氨</w:t>
                  </w:r>
                </w:p>
              </w:tc>
            </w:tr>
            <w:tr w14:paraId="63FC884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64CEDDF8">
                  <w:pPr>
                    <w:pStyle w:val="38"/>
                    <w:bidi w:val="0"/>
                    <w:ind w:left="0" w:leftChars="0" w:right="0" w:rightChars="0" w:firstLine="0" w:firstLineChars="0"/>
                    <w:jc w:val="center"/>
                    <w:rPr>
                      <w:b/>
                      <w:bCs/>
                      <w:lang w:val="en-US" w:eastAsia="en-US"/>
                    </w:rPr>
                  </w:pPr>
                  <w:r>
                    <w:rPr>
                      <w:b/>
                      <w:bCs/>
                      <w:lang w:val="en-US" w:eastAsia="en-US"/>
                    </w:rPr>
                    <w:t>分子量</w:t>
                  </w:r>
                </w:p>
              </w:tc>
              <w:tc>
                <w:tcPr>
                  <w:tcW w:w="1420" w:type="dxa"/>
                  <w:tcBorders>
                    <w:tl2br w:val="nil"/>
                    <w:tr2bl w:val="nil"/>
                  </w:tcBorders>
                  <w:vAlign w:val="center"/>
                </w:tcPr>
                <w:p w14:paraId="2FE209E1">
                  <w:pPr>
                    <w:pStyle w:val="38"/>
                    <w:bidi w:val="0"/>
                    <w:ind w:left="0" w:leftChars="0" w:right="0" w:rightChars="0" w:firstLine="0" w:firstLineChars="0"/>
                    <w:jc w:val="center"/>
                    <w:rPr>
                      <w:lang w:eastAsia="en-US"/>
                    </w:rPr>
                  </w:pPr>
                  <w:r>
                    <w:rPr>
                      <w:lang w:eastAsia="en-US"/>
                    </w:rPr>
                    <w:t>17.03</w:t>
                  </w:r>
                </w:p>
              </w:tc>
              <w:tc>
                <w:tcPr>
                  <w:tcW w:w="1983" w:type="dxa"/>
                  <w:tcBorders>
                    <w:tl2br w:val="nil"/>
                    <w:tr2bl w:val="nil"/>
                  </w:tcBorders>
                  <w:vAlign w:val="center"/>
                </w:tcPr>
                <w:p w14:paraId="0D301A2B">
                  <w:pPr>
                    <w:pStyle w:val="38"/>
                    <w:bidi w:val="0"/>
                    <w:ind w:left="0" w:leftChars="0" w:right="0" w:rightChars="0" w:firstLine="0" w:firstLineChars="0"/>
                    <w:jc w:val="center"/>
                    <w:rPr>
                      <w:lang w:val="en-US" w:eastAsia="en-US"/>
                    </w:rPr>
                  </w:pPr>
                  <w:r>
                    <w:rPr>
                      <w:rFonts w:hint="eastAsia"/>
                      <w:lang w:val="en-US" w:eastAsia="zh-CN"/>
                    </w:rPr>
                    <w:t>饱和蒸汽压</w:t>
                  </w:r>
                  <w:r>
                    <w:rPr>
                      <w:lang w:val="en-US" w:eastAsia="en-US"/>
                    </w:rPr>
                    <w:t>（kPa）</w:t>
                  </w:r>
                </w:p>
              </w:tc>
              <w:tc>
                <w:tcPr>
                  <w:tcW w:w="3404" w:type="dxa"/>
                  <w:tcBorders>
                    <w:tl2br w:val="nil"/>
                    <w:tr2bl w:val="nil"/>
                  </w:tcBorders>
                  <w:vAlign w:val="center"/>
                </w:tcPr>
                <w:p w14:paraId="25F73C64">
                  <w:pPr>
                    <w:pStyle w:val="38"/>
                    <w:bidi w:val="0"/>
                    <w:ind w:left="0" w:leftChars="0" w:right="0" w:rightChars="0" w:firstLine="0" w:firstLineChars="0"/>
                    <w:jc w:val="center"/>
                    <w:rPr>
                      <w:lang w:val="en-US" w:eastAsia="en-US"/>
                    </w:rPr>
                  </w:pPr>
                  <w:r>
                    <w:rPr>
                      <w:lang w:val="en-US" w:eastAsia="en-US"/>
                    </w:rPr>
                    <w:t>506.62（4.7℃)</w:t>
                  </w:r>
                </w:p>
              </w:tc>
            </w:tr>
            <w:tr w14:paraId="62F9D8D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27FF5E87">
                  <w:pPr>
                    <w:pStyle w:val="38"/>
                    <w:bidi w:val="0"/>
                    <w:ind w:left="0" w:leftChars="0" w:right="0" w:rightChars="0" w:firstLine="0" w:firstLineChars="0"/>
                    <w:jc w:val="center"/>
                    <w:rPr>
                      <w:b/>
                      <w:bCs/>
                      <w:lang w:val="en-US" w:eastAsia="en-US"/>
                    </w:rPr>
                  </w:pPr>
                  <w:r>
                    <w:rPr>
                      <w:b/>
                      <w:bCs/>
                      <w:lang w:val="en-US" w:eastAsia="en-US"/>
                    </w:rPr>
                    <w:t>熔点</w:t>
                  </w:r>
                </w:p>
              </w:tc>
              <w:tc>
                <w:tcPr>
                  <w:tcW w:w="1420" w:type="dxa"/>
                  <w:tcBorders>
                    <w:tl2br w:val="nil"/>
                    <w:tr2bl w:val="nil"/>
                  </w:tcBorders>
                  <w:vAlign w:val="center"/>
                </w:tcPr>
                <w:p w14:paraId="0876D76E">
                  <w:pPr>
                    <w:pStyle w:val="38"/>
                    <w:bidi w:val="0"/>
                    <w:ind w:left="0" w:leftChars="0" w:right="0" w:rightChars="0" w:firstLine="0" w:firstLineChars="0"/>
                    <w:jc w:val="center"/>
                    <w:rPr>
                      <w:lang w:eastAsia="en-US"/>
                    </w:rPr>
                  </w:pPr>
                  <w:r>
                    <w:rPr>
                      <w:lang w:eastAsia="en-US"/>
                    </w:rPr>
                    <w:t>-77.7℃</w:t>
                  </w:r>
                </w:p>
              </w:tc>
              <w:tc>
                <w:tcPr>
                  <w:tcW w:w="1983" w:type="dxa"/>
                  <w:tcBorders>
                    <w:tl2br w:val="nil"/>
                    <w:tr2bl w:val="nil"/>
                  </w:tcBorders>
                  <w:vAlign w:val="center"/>
                </w:tcPr>
                <w:p w14:paraId="3444CDB4">
                  <w:pPr>
                    <w:pStyle w:val="38"/>
                    <w:bidi w:val="0"/>
                    <w:ind w:left="0" w:leftChars="0" w:right="0" w:rightChars="0" w:firstLine="0" w:firstLineChars="0"/>
                    <w:jc w:val="center"/>
                    <w:rPr>
                      <w:lang w:val="en-US" w:eastAsia="en-US"/>
                    </w:rPr>
                  </w:pPr>
                  <w:r>
                    <w:rPr>
                      <w:lang w:val="en-US" w:eastAsia="en-US"/>
                    </w:rPr>
                    <w:t>溶解性</w:t>
                  </w:r>
                </w:p>
              </w:tc>
              <w:tc>
                <w:tcPr>
                  <w:tcW w:w="3404" w:type="dxa"/>
                  <w:tcBorders>
                    <w:tl2br w:val="nil"/>
                    <w:tr2bl w:val="nil"/>
                  </w:tcBorders>
                  <w:vAlign w:val="center"/>
                </w:tcPr>
                <w:p w14:paraId="1AC1EDF5">
                  <w:pPr>
                    <w:pStyle w:val="38"/>
                    <w:bidi w:val="0"/>
                    <w:ind w:left="0" w:leftChars="0" w:right="0" w:rightChars="0" w:firstLine="0" w:firstLineChars="0"/>
                    <w:jc w:val="center"/>
                    <w:rPr>
                      <w:lang w:val="en-US" w:eastAsia="en-US"/>
                    </w:rPr>
                  </w:pPr>
                  <w:r>
                    <w:rPr>
                      <w:lang w:val="en-US" w:eastAsia="en-US"/>
                    </w:rPr>
                    <w:t>易溶于水、乙醇、乙醚</w:t>
                  </w:r>
                </w:p>
              </w:tc>
            </w:tr>
            <w:tr w14:paraId="306C7D5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75699EDA">
                  <w:pPr>
                    <w:pStyle w:val="38"/>
                    <w:bidi w:val="0"/>
                    <w:ind w:left="0" w:leftChars="0" w:right="0" w:rightChars="0" w:firstLine="0" w:firstLineChars="0"/>
                    <w:jc w:val="center"/>
                    <w:rPr>
                      <w:b/>
                      <w:bCs/>
                      <w:lang w:val="en-US" w:eastAsia="en-US"/>
                    </w:rPr>
                  </w:pPr>
                  <w:r>
                    <w:rPr>
                      <w:b/>
                      <w:bCs/>
                      <w:lang w:val="en-US" w:eastAsia="en-US"/>
                    </w:rPr>
                    <w:t>沸点</w:t>
                  </w:r>
                </w:p>
              </w:tc>
              <w:tc>
                <w:tcPr>
                  <w:tcW w:w="1420" w:type="dxa"/>
                  <w:tcBorders>
                    <w:tl2br w:val="nil"/>
                    <w:tr2bl w:val="nil"/>
                  </w:tcBorders>
                  <w:vAlign w:val="center"/>
                </w:tcPr>
                <w:p w14:paraId="182EE0A6">
                  <w:pPr>
                    <w:pStyle w:val="38"/>
                    <w:bidi w:val="0"/>
                    <w:ind w:left="0" w:leftChars="0" w:right="0" w:rightChars="0" w:firstLine="0" w:firstLineChars="0"/>
                    <w:jc w:val="center"/>
                    <w:rPr>
                      <w:lang w:eastAsia="en-US"/>
                    </w:rPr>
                  </w:pPr>
                  <w:r>
                    <w:rPr>
                      <w:lang w:eastAsia="en-US"/>
                    </w:rPr>
                    <w:t>-33.5℃</w:t>
                  </w:r>
                </w:p>
              </w:tc>
              <w:tc>
                <w:tcPr>
                  <w:tcW w:w="1983" w:type="dxa"/>
                  <w:tcBorders>
                    <w:tl2br w:val="nil"/>
                    <w:tr2bl w:val="nil"/>
                  </w:tcBorders>
                  <w:vAlign w:val="center"/>
                </w:tcPr>
                <w:p w14:paraId="08663550">
                  <w:pPr>
                    <w:pStyle w:val="38"/>
                    <w:bidi w:val="0"/>
                    <w:ind w:left="0" w:leftChars="0" w:right="0" w:rightChars="0" w:firstLine="0" w:firstLineChars="0"/>
                    <w:jc w:val="center"/>
                    <w:rPr>
                      <w:lang w:val="en-US" w:eastAsia="en-US"/>
                    </w:rPr>
                  </w:pPr>
                  <w:r>
                    <w:rPr>
                      <w:lang w:val="en-US" w:eastAsia="en-US"/>
                    </w:rPr>
                    <w:t>稳定性</w:t>
                  </w:r>
                </w:p>
              </w:tc>
              <w:tc>
                <w:tcPr>
                  <w:tcW w:w="3404" w:type="dxa"/>
                  <w:tcBorders>
                    <w:tl2br w:val="nil"/>
                    <w:tr2bl w:val="nil"/>
                  </w:tcBorders>
                  <w:vAlign w:val="center"/>
                </w:tcPr>
                <w:p w14:paraId="798352CE">
                  <w:pPr>
                    <w:pStyle w:val="38"/>
                    <w:bidi w:val="0"/>
                    <w:ind w:left="0" w:leftChars="0" w:right="0" w:rightChars="0" w:firstLine="0" w:firstLineChars="0"/>
                    <w:jc w:val="center"/>
                    <w:rPr>
                      <w:lang w:val="en-US" w:eastAsia="en-US"/>
                    </w:rPr>
                  </w:pPr>
                  <w:r>
                    <w:rPr>
                      <w:lang w:val="en-US" w:eastAsia="en-US"/>
                    </w:rPr>
                    <w:t>稳定</w:t>
                  </w:r>
                </w:p>
              </w:tc>
            </w:tr>
            <w:tr w14:paraId="4304B45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196FAAC4">
                  <w:pPr>
                    <w:pStyle w:val="38"/>
                    <w:bidi w:val="0"/>
                    <w:ind w:left="0" w:leftChars="0" w:right="0" w:rightChars="0" w:firstLine="0" w:firstLineChars="0"/>
                    <w:jc w:val="center"/>
                    <w:rPr>
                      <w:b/>
                      <w:bCs/>
                      <w:lang w:val="en-US" w:eastAsia="en-US"/>
                    </w:rPr>
                  </w:pPr>
                  <w:r>
                    <w:rPr>
                      <w:b/>
                      <w:bCs/>
                      <w:lang w:val="en-US" w:eastAsia="en-US"/>
                    </w:rPr>
                    <w:t>相对水密度</w:t>
                  </w:r>
                </w:p>
              </w:tc>
              <w:tc>
                <w:tcPr>
                  <w:tcW w:w="1420" w:type="dxa"/>
                  <w:tcBorders>
                    <w:tl2br w:val="nil"/>
                    <w:tr2bl w:val="nil"/>
                  </w:tcBorders>
                  <w:vAlign w:val="center"/>
                </w:tcPr>
                <w:p w14:paraId="5C8DD0DB">
                  <w:pPr>
                    <w:pStyle w:val="38"/>
                    <w:bidi w:val="0"/>
                    <w:ind w:left="0" w:leftChars="0" w:right="0" w:rightChars="0" w:firstLine="0" w:firstLineChars="0"/>
                    <w:jc w:val="center"/>
                    <w:rPr>
                      <w:lang w:val="en-US" w:eastAsia="en-US"/>
                    </w:rPr>
                  </w:pPr>
                  <w:r>
                    <w:rPr>
                      <w:lang w:val="en-US" w:eastAsia="en-US"/>
                    </w:rPr>
                    <w:t>0.82（-79℃)</w:t>
                  </w:r>
                </w:p>
              </w:tc>
              <w:tc>
                <w:tcPr>
                  <w:tcW w:w="1983" w:type="dxa"/>
                  <w:tcBorders>
                    <w:tl2br w:val="nil"/>
                    <w:tr2bl w:val="nil"/>
                  </w:tcBorders>
                  <w:vAlign w:val="center"/>
                </w:tcPr>
                <w:p w14:paraId="6480942D">
                  <w:pPr>
                    <w:pStyle w:val="38"/>
                    <w:bidi w:val="0"/>
                    <w:ind w:left="0" w:leftChars="0" w:right="0" w:rightChars="0" w:firstLine="0" w:firstLineChars="0"/>
                    <w:jc w:val="center"/>
                    <w:rPr>
                      <w:lang w:val="en-US" w:eastAsia="en-US"/>
                    </w:rPr>
                  </w:pPr>
                  <w:r>
                    <w:rPr>
                      <w:lang w:val="en-US" w:eastAsia="en-US"/>
                    </w:rPr>
                    <w:t>闪点</w:t>
                  </w:r>
                </w:p>
              </w:tc>
              <w:tc>
                <w:tcPr>
                  <w:tcW w:w="3404" w:type="dxa"/>
                  <w:tcBorders>
                    <w:tl2br w:val="nil"/>
                    <w:tr2bl w:val="nil"/>
                  </w:tcBorders>
                  <w:vAlign w:val="center"/>
                </w:tcPr>
                <w:p w14:paraId="675B155B">
                  <w:pPr>
                    <w:pStyle w:val="38"/>
                    <w:bidi w:val="0"/>
                    <w:ind w:left="0" w:leftChars="0" w:right="0" w:rightChars="0" w:firstLine="0" w:firstLineChars="0"/>
                    <w:jc w:val="center"/>
                    <w:rPr>
                      <w:lang w:val="en-US" w:eastAsia="en-US"/>
                    </w:rPr>
                  </w:pPr>
                  <w:r>
                    <w:rPr>
                      <w:lang w:val="en-US" w:eastAsia="en-US"/>
                    </w:rPr>
                    <w:t>无意义</w:t>
                  </w:r>
                </w:p>
              </w:tc>
            </w:tr>
            <w:tr w14:paraId="3F70E92E">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vMerge w:val="restart"/>
                  <w:tcBorders>
                    <w:tl2br w:val="nil"/>
                    <w:tr2bl w:val="nil"/>
                  </w:tcBorders>
                  <w:vAlign w:val="center"/>
                </w:tcPr>
                <w:p w14:paraId="41385517">
                  <w:pPr>
                    <w:pStyle w:val="38"/>
                    <w:bidi w:val="0"/>
                    <w:ind w:left="0" w:leftChars="0" w:right="0" w:rightChars="0" w:firstLine="0" w:firstLineChars="0"/>
                    <w:jc w:val="center"/>
                    <w:rPr>
                      <w:b/>
                      <w:bCs/>
                      <w:lang w:val="en-US" w:eastAsia="en-US"/>
                    </w:rPr>
                  </w:pPr>
                  <w:r>
                    <w:rPr>
                      <w:b/>
                      <w:bCs/>
                      <w:lang w:val="en-US" w:eastAsia="en-US"/>
                    </w:rPr>
                    <w:t>危险特性</w:t>
                  </w:r>
                </w:p>
              </w:tc>
              <w:tc>
                <w:tcPr>
                  <w:tcW w:w="6807" w:type="dxa"/>
                  <w:gridSpan w:val="3"/>
                  <w:tcBorders>
                    <w:tl2br w:val="nil"/>
                    <w:tr2bl w:val="nil"/>
                  </w:tcBorders>
                  <w:vAlign w:val="center"/>
                </w:tcPr>
                <w:p w14:paraId="1F41C5BB">
                  <w:pPr>
                    <w:pStyle w:val="38"/>
                    <w:bidi w:val="0"/>
                    <w:ind w:left="0" w:leftChars="0" w:right="0" w:rightChars="0" w:firstLine="0" w:firstLineChars="0"/>
                    <w:jc w:val="center"/>
                    <w:rPr>
                      <w:lang w:val="en-US" w:eastAsia="en-US"/>
                    </w:rPr>
                  </w:pPr>
                  <w:r>
                    <w:rPr>
                      <w:lang w:val="en-US" w:eastAsia="en-US"/>
                    </w:rPr>
                    <w:t>危险类别：第2.3类有毒气体</w:t>
                  </w:r>
                </w:p>
              </w:tc>
            </w:tr>
            <w:tr w14:paraId="25C1837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vMerge w:val="continue"/>
                  <w:tcBorders>
                    <w:tl2br w:val="nil"/>
                    <w:tr2bl w:val="nil"/>
                  </w:tcBorders>
                  <w:vAlign w:val="center"/>
                </w:tcPr>
                <w:p w14:paraId="7BBE8A3A">
                  <w:pPr>
                    <w:pStyle w:val="38"/>
                    <w:bidi w:val="0"/>
                    <w:ind w:left="0" w:leftChars="0" w:right="0" w:rightChars="0" w:firstLine="0" w:firstLineChars="0"/>
                    <w:jc w:val="center"/>
                    <w:rPr>
                      <w:b/>
                      <w:bCs/>
                      <w:lang w:eastAsia="en-US"/>
                    </w:rPr>
                  </w:pPr>
                </w:p>
              </w:tc>
              <w:tc>
                <w:tcPr>
                  <w:tcW w:w="6807" w:type="dxa"/>
                  <w:gridSpan w:val="3"/>
                  <w:tcBorders>
                    <w:tl2br w:val="nil"/>
                    <w:tr2bl w:val="nil"/>
                  </w:tcBorders>
                  <w:vAlign w:val="center"/>
                </w:tcPr>
                <w:p w14:paraId="098031D8">
                  <w:pPr>
                    <w:pStyle w:val="38"/>
                    <w:bidi w:val="0"/>
                    <w:ind w:left="0" w:leftChars="0" w:right="0" w:rightChars="0" w:firstLine="0" w:firstLineChars="0"/>
                    <w:jc w:val="center"/>
                    <w:rPr>
                      <w:lang w:val="en-US" w:eastAsia="en-US"/>
                    </w:rPr>
                  </w:pPr>
                  <w:r>
                    <w:rPr>
                      <w:lang w:val="en-US" w:eastAsia="en-US"/>
                    </w:rPr>
                    <w:t>可燃，引燃温度：651℃</w:t>
                  </w:r>
                </w:p>
              </w:tc>
            </w:tr>
            <w:tr w14:paraId="4D31B6A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vMerge w:val="continue"/>
                  <w:tcBorders>
                    <w:tl2br w:val="nil"/>
                    <w:tr2bl w:val="nil"/>
                  </w:tcBorders>
                  <w:vAlign w:val="center"/>
                </w:tcPr>
                <w:p w14:paraId="4A3D0661">
                  <w:pPr>
                    <w:pStyle w:val="38"/>
                    <w:bidi w:val="0"/>
                    <w:ind w:left="0" w:leftChars="0" w:right="0" w:rightChars="0" w:firstLine="0" w:firstLineChars="0"/>
                    <w:jc w:val="center"/>
                    <w:rPr>
                      <w:b/>
                      <w:bCs/>
                      <w:lang w:eastAsia="en-US"/>
                    </w:rPr>
                  </w:pPr>
                </w:p>
              </w:tc>
              <w:tc>
                <w:tcPr>
                  <w:tcW w:w="6807" w:type="dxa"/>
                  <w:gridSpan w:val="3"/>
                  <w:tcBorders>
                    <w:tl2br w:val="nil"/>
                    <w:tr2bl w:val="nil"/>
                  </w:tcBorders>
                  <w:vAlign w:val="center"/>
                </w:tcPr>
                <w:p w14:paraId="5B4F0289">
                  <w:pPr>
                    <w:pStyle w:val="38"/>
                    <w:bidi w:val="0"/>
                    <w:ind w:left="0" w:leftChars="0" w:right="0" w:rightChars="0" w:firstLine="0" w:firstLineChars="0"/>
                    <w:jc w:val="center"/>
                    <w:rPr>
                      <w:lang w:val="en-US" w:eastAsia="en-US"/>
                    </w:rPr>
                  </w:pPr>
                  <w:r>
                    <w:rPr>
                      <w:lang w:val="en-US" w:eastAsia="en-US"/>
                    </w:rPr>
                    <w:t>与空气混合能形成爆炸性混合物。遇明火、热即会发生燃烧爆炸。与氟、</w:t>
                  </w:r>
                </w:p>
                <w:p w14:paraId="3C7F1123">
                  <w:pPr>
                    <w:pStyle w:val="38"/>
                    <w:bidi w:val="0"/>
                    <w:ind w:left="0" w:leftChars="0" w:right="0" w:rightChars="0" w:firstLine="0" w:firstLineChars="0"/>
                    <w:jc w:val="center"/>
                    <w:rPr>
                      <w:lang w:val="en-US" w:eastAsia="en-US"/>
                    </w:rPr>
                  </w:pPr>
                  <w:r>
                    <w:rPr>
                      <w:lang w:val="en-US" w:eastAsia="en-US"/>
                    </w:rPr>
                    <w:t>氯等接触会发生剧烈的化学反应。如遇高热，容器内压增大，有开裂则有爆炸危险。遇热放出氨及氮氧化物的有毒烟雾。</w:t>
                  </w:r>
                </w:p>
              </w:tc>
            </w:tr>
            <w:tr w14:paraId="2C67298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4AF397C4">
                  <w:pPr>
                    <w:pStyle w:val="38"/>
                    <w:bidi w:val="0"/>
                    <w:ind w:left="0" w:leftChars="0" w:right="0" w:rightChars="0" w:firstLine="0" w:firstLineChars="0"/>
                    <w:jc w:val="center"/>
                    <w:rPr>
                      <w:b/>
                      <w:bCs/>
                      <w:lang w:val="en-US" w:eastAsia="en-US"/>
                    </w:rPr>
                  </w:pPr>
                  <w:r>
                    <w:rPr>
                      <w:b/>
                      <w:bCs/>
                      <w:lang w:val="en-US" w:eastAsia="en-US"/>
                    </w:rPr>
                    <w:t>健康危害</w:t>
                  </w:r>
                </w:p>
              </w:tc>
              <w:tc>
                <w:tcPr>
                  <w:tcW w:w="6807" w:type="dxa"/>
                  <w:gridSpan w:val="3"/>
                  <w:tcBorders>
                    <w:tl2br w:val="nil"/>
                    <w:tr2bl w:val="nil"/>
                  </w:tcBorders>
                  <w:vAlign w:val="center"/>
                </w:tcPr>
                <w:p w14:paraId="45E092C3">
                  <w:pPr>
                    <w:pStyle w:val="38"/>
                    <w:bidi w:val="0"/>
                    <w:ind w:left="0" w:leftChars="0" w:right="0" w:rightChars="0" w:firstLine="0" w:firstLineChars="0"/>
                    <w:jc w:val="center"/>
                    <w:rPr>
                      <w:lang w:val="en-US" w:eastAsia="en-US"/>
                    </w:rPr>
                  </w:pPr>
                  <w:r>
                    <w:rPr>
                      <w:lang w:val="en-US" w:eastAsia="en-US"/>
                    </w:rPr>
                    <w:t>侵入途径：吸入、皮肤接触吸收。</w:t>
                  </w:r>
                </w:p>
                <w:p w14:paraId="6E948952">
                  <w:pPr>
                    <w:pStyle w:val="38"/>
                    <w:bidi w:val="0"/>
                    <w:ind w:left="0" w:leftChars="0" w:right="0" w:rightChars="0" w:firstLine="0" w:firstLineChars="0"/>
                    <w:jc w:val="center"/>
                    <w:rPr>
                      <w:lang w:val="en-US" w:eastAsia="en-US"/>
                    </w:rPr>
                  </w:pPr>
                  <w:r>
                    <w:rPr>
                      <w:lang w:val="en-US" w:eastAsia="en-US"/>
                    </w:rPr>
                    <w:t>健康危害：对黏膜和皮肤有碱性刺激及腐蚀作用，可造成组织溶解性坏死，高浓度时可引起反射性</w:t>
                  </w:r>
                  <w:r>
                    <w:rPr>
                      <w:rFonts w:hint="eastAsia"/>
                      <w:lang w:val="en-US" w:eastAsia="zh-CN"/>
                    </w:rPr>
                    <w:t>呼吸</w:t>
                  </w:r>
                  <w:r>
                    <w:rPr>
                      <w:lang w:val="en-US" w:eastAsia="en-US"/>
                    </w:rPr>
                    <w:t>停止和心脏停</w:t>
                  </w:r>
                  <w:r>
                    <w:rPr>
                      <w:rFonts w:hint="eastAsia"/>
                      <w:lang w:val="en-US" w:eastAsia="zh-CN"/>
                    </w:rPr>
                    <w:t>搏</w:t>
                  </w:r>
                  <w:r>
                    <w:rPr>
                      <w:lang w:val="en-US" w:eastAsia="en-US"/>
                    </w:rPr>
                    <w:t>。</w:t>
                  </w:r>
                </w:p>
              </w:tc>
            </w:tr>
          </w:tbl>
          <w:p w14:paraId="59D438FD">
            <w:pPr>
              <w:pStyle w:val="52"/>
              <w:bidi w:val="0"/>
              <w:rPr>
                <w:lang w:val="en-US" w:eastAsia="en-US"/>
              </w:rPr>
            </w:pPr>
            <w:r>
              <w:rPr>
                <w:rFonts w:hint="eastAsia"/>
                <w:lang w:val="en-US" w:eastAsia="zh-CN"/>
              </w:rPr>
              <w:t>硫化氢</w:t>
            </w:r>
            <w:r>
              <w:rPr>
                <w:lang w:val="en-US" w:eastAsia="en-US"/>
              </w:rPr>
              <w:t>理化性质及危险特性一览表</w:t>
            </w:r>
          </w:p>
          <w:tbl>
            <w:tblPr>
              <w:tblStyle w:val="129"/>
              <w:tblW w:w="850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702"/>
              <w:gridCol w:w="1879"/>
              <w:gridCol w:w="1400"/>
              <w:gridCol w:w="3528"/>
            </w:tblGrid>
            <w:tr w14:paraId="08ED4B83">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4E6A1BE9">
                  <w:pPr>
                    <w:pStyle w:val="38"/>
                    <w:bidi w:val="0"/>
                    <w:ind w:left="0" w:leftChars="0" w:right="0" w:rightChars="0" w:firstLine="0" w:firstLineChars="0"/>
                    <w:jc w:val="center"/>
                    <w:rPr>
                      <w:b/>
                      <w:bCs/>
                      <w:lang w:val="en-US" w:eastAsia="en-US"/>
                    </w:rPr>
                  </w:pPr>
                  <w:r>
                    <w:rPr>
                      <w:b/>
                      <w:bCs/>
                      <w:lang w:val="en-US" w:eastAsia="en-US"/>
                    </w:rPr>
                    <w:t>CAS号</w:t>
                  </w:r>
                </w:p>
              </w:tc>
              <w:tc>
                <w:tcPr>
                  <w:tcW w:w="6807" w:type="dxa"/>
                  <w:gridSpan w:val="3"/>
                  <w:tcBorders>
                    <w:tl2br w:val="nil"/>
                    <w:tr2bl w:val="nil"/>
                  </w:tcBorders>
                  <w:vAlign w:val="center"/>
                </w:tcPr>
                <w:p w14:paraId="792109A0">
                  <w:pPr>
                    <w:pStyle w:val="38"/>
                    <w:bidi w:val="0"/>
                    <w:ind w:left="0" w:leftChars="0" w:right="0" w:rightChars="0" w:firstLine="0" w:firstLineChars="0"/>
                    <w:jc w:val="center"/>
                    <w:rPr>
                      <w:lang w:eastAsia="en-US"/>
                    </w:rPr>
                  </w:pPr>
                  <w:r>
                    <w:t>7783-06-4</w:t>
                  </w:r>
                </w:p>
              </w:tc>
            </w:tr>
            <w:tr w14:paraId="64338E1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757A0E3B">
                  <w:pPr>
                    <w:pStyle w:val="38"/>
                    <w:bidi w:val="0"/>
                    <w:ind w:left="0" w:leftChars="0" w:right="0" w:rightChars="0" w:firstLine="0" w:firstLineChars="0"/>
                    <w:jc w:val="center"/>
                    <w:rPr>
                      <w:b/>
                      <w:bCs/>
                      <w:lang w:val="en-US" w:eastAsia="en-US"/>
                    </w:rPr>
                  </w:pPr>
                  <w:r>
                    <w:rPr>
                      <w:b/>
                      <w:bCs/>
                      <w:lang w:val="en-US" w:eastAsia="en-US"/>
                    </w:rPr>
                    <w:t>中文名称</w:t>
                  </w:r>
                </w:p>
              </w:tc>
              <w:tc>
                <w:tcPr>
                  <w:tcW w:w="6807" w:type="dxa"/>
                  <w:gridSpan w:val="3"/>
                  <w:tcBorders>
                    <w:tl2br w:val="nil"/>
                    <w:tr2bl w:val="nil"/>
                  </w:tcBorders>
                  <w:vAlign w:val="center"/>
                </w:tcPr>
                <w:p w14:paraId="0607818E">
                  <w:pPr>
                    <w:pStyle w:val="38"/>
                    <w:bidi w:val="0"/>
                    <w:ind w:left="0" w:leftChars="0" w:right="0" w:rightChars="0" w:firstLine="0" w:firstLineChars="0"/>
                    <w:jc w:val="center"/>
                    <w:rPr>
                      <w:lang w:val="en-US" w:eastAsia="en-US"/>
                    </w:rPr>
                  </w:pPr>
                  <w:r>
                    <w:t>硫化氢</w:t>
                  </w:r>
                </w:p>
              </w:tc>
            </w:tr>
            <w:tr w14:paraId="2E236737">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625BB580">
                  <w:pPr>
                    <w:pStyle w:val="38"/>
                    <w:bidi w:val="0"/>
                    <w:ind w:left="0" w:leftChars="0" w:right="0" w:rightChars="0" w:firstLine="0" w:firstLineChars="0"/>
                    <w:jc w:val="center"/>
                    <w:rPr>
                      <w:b/>
                      <w:bCs/>
                      <w:lang w:val="en-US" w:eastAsia="en-US"/>
                    </w:rPr>
                  </w:pPr>
                  <w:r>
                    <w:rPr>
                      <w:b/>
                      <w:bCs/>
                      <w:lang w:val="en-US" w:eastAsia="en-US"/>
                    </w:rPr>
                    <w:t>分子式</w:t>
                  </w:r>
                </w:p>
              </w:tc>
              <w:tc>
                <w:tcPr>
                  <w:tcW w:w="1879" w:type="dxa"/>
                  <w:tcBorders>
                    <w:tl2br w:val="nil"/>
                    <w:tr2bl w:val="nil"/>
                  </w:tcBorders>
                  <w:vAlign w:val="center"/>
                </w:tcPr>
                <w:p w14:paraId="3105BFDC">
                  <w:pPr>
                    <w:pStyle w:val="38"/>
                    <w:bidi w:val="0"/>
                    <w:ind w:left="0" w:leftChars="0" w:right="0" w:rightChars="0" w:firstLine="0" w:firstLineChars="0"/>
                    <w:jc w:val="center"/>
                    <w:rPr>
                      <w:lang w:eastAsia="en-US"/>
                    </w:rPr>
                  </w:pPr>
                  <w:r>
                    <w:t>H2S</w:t>
                  </w:r>
                </w:p>
              </w:tc>
              <w:tc>
                <w:tcPr>
                  <w:tcW w:w="1400" w:type="dxa"/>
                  <w:tcBorders>
                    <w:tl2br w:val="nil"/>
                    <w:tr2bl w:val="nil"/>
                  </w:tcBorders>
                  <w:vAlign w:val="center"/>
                </w:tcPr>
                <w:p w14:paraId="7B86581B">
                  <w:pPr>
                    <w:pStyle w:val="38"/>
                    <w:bidi w:val="0"/>
                    <w:ind w:left="0" w:leftChars="0" w:right="0" w:rightChars="0" w:firstLine="0" w:firstLineChars="0"/>
                    <w:jc w:val="center"/>
                    <w:rPr>
                      <w:lang w:val="en-US" w:eastAsia="en-US"/>
                    </w:rPr>
                  </w:pPr>
                  <w:r>
                    <w:t>外观与性状</w:t>
                  </w:r>
                </w:p>
              </w:tc>
              <w:tc>
                <w:tcPr>
                  <w:tcW w:w="3528" w:type="dxa"/>
                  <w:tcBorders>
                    <w:tl2br w:val="nil"/>
                    <w:tr2bl w:val="nil"/>
                  </w:tcBorders>
                  <w:vAlign w:val="center"/>
                </w:tcPr>
                <w:p w14:paraId="31F02535">
                  <w:pPr>
                    <w:pStyle w:val="38"/>
                    <w:bidi w:val="0"/>
                    <w:ind w:left="0" w:leftChars="0" w:right="0" w:rightChars="0" w:firstLine="0" w:firstLineChars="0"/>
                    <w:jc w:val="center"/>
                    <w:rPr>
                      <w:lang w:val="en-US" w:eastAsia="en-US"/>
                    </w:rPr>
                  </w:pPr>
                  <w:r>
                    <w:t>无色气体，具有特殊臭蛋味</w:t>
                  </w:r>
                </w:p>
              </w:tc>
            </w:tr>
            <w:tr w14:paraId="1290BCE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03448B62">
                  <w:pPr>
                    <w:pStyle w:val="38"/>
                    <w:bidi w:val="0"/>
                    <w:ind w:left="0" w:leftChars="0" w:right="0" w:rightChars="0" w:firstLine="0" w:firstLineChars="0"/>
                    <w:jc w:val="center"/>
                    <w:rPr>
                      <w:b/>
                      <w:bCs/>
                      <w:lang w:val="en-US" w:eastAsia="en-US"/>
                    </w:rPr>
                  </w:pPr>
                  <w:r>
                    <w:rPr>
                      <w:b/>
                      <w:bCs/>
                      <w:lang w:val="en-US" w:eastAsia="en-US"/>
                    </w:rPr>
                    <w:t>分子量</w:t>
                  </w:r>
                </w:p>
              </w:tc>
              <w:tc>
                <w:tcPr>
                  <w:tcW w:w="1879" w:type="dxa"/>
                  <w:tcBorders>
                    <w:tl2br w:val="nil"/>
                    <w:tr2bl w:val="nil"/>
                  </w:tcBorders>
                  <w:vAlign w:val="center"/>
                </w:tcPr>
                <w:p w14:paraId="5FEEEA6B">
                  <w:pPr>
                    <w:pStyle w:val="38"/>
                    <w:bidi w:val="0"/>
                    <w:ind w:left="0" w:leftChars="0" w:right="0" w:rightChars="0" w:firstLine="0" w:firstLineChars="0"/>
                    <w:jc w:val="center"/>
                    <w:rPr>
                      <w:lang w:eastAsia="en-US"/>
                    </w:rPr>
                  </w:pPr>
                  <w:r>
                    <w:t>34.08</w:t>
                  </w:r>
                </w:p>
              </w:tc>
              <w:tc>
                <w:tcPr>
                  <w:tcW w:w="1400" w:type="dxa"/>
                  <w:tcBorders>
                    <w:tl2br w:val="nil"/>
                    <w:tr2bl w:val="nil"/>
                  </w:tcBorders>
                  <w:vAlign w:val="center"/>
                </w:tcPr>
                <w:p w14:paraId="3CA24B88">
                  <w:pPr>
                    <w:pStyle w:val="38"/>
                    <w:bidi w:val="0"/>
                    <w:ind w:left="0" w:leftChars="0" w:right="0" w:rightChars="0" w:firstLine="0" w:firstLineChars="0"/>
                    <w:jc w:val="center"/>
                    <w:rPr>
                      <w:lang w:val="en-US" w:eastAsia="en-US"/>
                    </w:rPr>
                  </w:pPr>
                  <w:r>
                    <w:t>导电性</w:t>
                  </w:r>
                </w:p>
              </w:tc>
              <w:tc>
                <w:tcPr>
                  <w:tcW w:w="3528" w:type="dxa"/>
                  <w:tcBorders>
                    <w:tl2br w:val="nil"/>
                    <w:tr2bl w:val="nil"/>
                  </w:tcBorders>
                  <w:vAlign w:val="center"/>
                </w:tcPr>
                <w:p w14:paraId="6C34C3DB">
                  <w:pPr>
                    <w:pStyle w:val="38"/>
                    <w:bidi w:val="0"/>
                    <w:ind w:left="0" w:leftChars="0" w:right="0" w:rightChars="0" w:firstLine="0" w:firstLineChars="0"/>
                    <w:jc w:val="center"/>
                    <w:rPr>
                      <w:lang w:val="en-US" w:eastAsia="en-US"/>
                    </w:rPr>
                  </w:pPr>
                  <w:r>
                    <w:t>不导电</w:t>
                  </w:r>
                </w:p>
              </w:tc>
            </w:tr>
            <w:tr w14:paraId="1C4F0733">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70603201">
                  <w:pPr>
                    <w:pStyle w:val="38"/>
                    <w:bidi w:val="0"/>
                    <w:ind w:left="0" w:leftChars="0" w:right="0" w:rightChars="0" w:firstLine="0" w:firstLineChars="0"/>
                    <w:jc w:val="center"/>
                    <w:rPr>
                      <w:b/>
                      <w:bCs/>
                      <w:lang w:val="en-US" w:eastAsia="en-US"/>
                    </w:rPr>
                  </w:pPr>
                  <w:r>
                    <w:rPr>
                      <w:b/>
                      <w:bCs/>
                      <w:lang w:val="en-US" w:eastAsia="en-US"/>
                    </w:rPr>
                    <w:t>熔点</w:t>
                  </w:r>
                </w:p>
              </w:tc>
              <w:tc>
                <w:tcPr>
                  <w:tcW w:w="1879" w:type="dxa"/>
                  <w:tcBorders>
                    <w:tl2br w:val="nil"/>
                    <w:tr2bl w:val="nil"/>
                  </w:tcBorders>
                  <w:vAlign w:val="center"/>
                </w:tcPr>
                <w:p w14:paraId="224DBEDD">
                  <w:pPr>
                    <w:pStyle w:val="38"/>
                    <w:bidi w:val="0"/>
                    <w:ind w:left="0" w:leftChars="0" w:right="0" w:rightChars="0" w:firstLine="0" w:firstLineChars="0"/>
                    <w:jc w:val="center"/>
                    <w:rPr>
                      <w:lang w:eastAsia="en-US"/>
                    </w:rPr>
                  </w:pPr>
                  <w:r>
                    <w:t>-8.01℃</w:t>
                  </w:r>
                </w:p>
              </w:tc>
              <w:tc>
                <w:tcPr>
                  <w:tcW w:w="1400" w:type="dxa"/>
                  <w:tcBorders>
                    <w:tl2br w:val="nil"/>
                    <w:tr2bl w:val="nil"/>
                  </w:tcBorders>
                  <w:vAlign w:val="center"/>
                </w:tcPr>
                <w:p w14:paraId="75AAC02F">
                  <w:pPr>
                    <w:pStyle w:val="38"/>
                    <w:bidi w:val="0"/>
                    <w:ind w:left="0" w:leftChars="0" w:right="0" w:rightChars="0" w:firstLine="0" w:firstLineChars="0"/>
                    <w:jc w:val="center"/>
                    <w:rPr>
                      <w:lang w:val="en-US" w:eastAsia="en-US"/>
                    </w:rPr>
                  </w:pPr>
                  <w:r>
                    <w:t>爆炸极限</w:t>
                  </w:r>
                </w:p>
              </w:tc>
              <w:tc>
                <w:tcPr>
                  <w:tcW w:w="3528" w:type="dxa"/>
                  <w:tcBorders>
                    <w:tl2br w:val="nil"/>
                    <w:tr2bl w:val="nil"/>
                  </w:tcBorders>
                  <w:vAlign w:val="center"/>
                </w:tcPr>
                <w:p w14:paraId="39321354">
                  <w:pPr>
                    <w:pStyle w:val="38"/>
                    <w:bidi w:val="0"/>
                    <w:ind w:left="0" w:leftChars="0" w:right="0" w:rightChars="0" w:firstLine="0" w:firstLineChars="0"/>
                    <w:jc w:val="center"/>
                    <w:rPr>
                      <w:lang w:val="en-US" w:eastAsia="en-US"/>
                    </w:rPr>
                  </w:pPr>
                  <w:r>
                    <w:t>4.3%-46.0%体积浓度</w:t>
                  </w:r>
                </w:p>
              </w:tc>
            </w:tr>
            <w:tr w14:paraId="0438154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67775DBC">
                  <w:pPr>
                    <w:pStyle w:val="38"/>
                    <w:bidi w:val="0"/>
                    <w:ind w:left="0" w:leftChars="0" w:right="0" w:rightChars="0" w:firstLine="0" w:firstLineChars="0"/>
                    <w:jc w:val="center"/>
                    <w:rPr>
                      <w:b/>
                      <w:bCs/>
                      <w:lang w:val="en-US" w:eastAsia="en-US"/>
                    </w:rPr>
                  </w:pPr>
                  <w:r>
                    <w:rPr>
                      <w:b/>
                      <w:bCs/>
                      <w:lang w:val="en-US" w:eastAsia="en-US"/>
                    </w:rPr>
                    <w:t>沸点</w:t>
                  </w:r>
                </w:p>
              </w:tc>
              <w:tc>
                <w:tcPr>
                  <w:tcW w:w="1879" w:type="dxa"/>
                  <w:tcBorders>
                    <w:tl2br w:val="nil"/>
                    <w:tr2bl w:val="nil"/>
                  </w:tcBorders>
                  <w:vAlign w:val="center"/>
                </w:tcPr>
                <w:p w14:paraId="1D8CFA5F">
                  <w:pPr>
                    <w:pStyle w:val="38"/>
                    <w:bidi w:val="0"/>
                    <w:ind w:left="0" w:leftChars="0" w:right="0" w:rightChars="0" w:firstLine="0" w:firstLineChars="0"/>
                    <w:jc w:val="center"/>
                    <w:rPr>
                      <w:lang w:eastAsia="en-US"/>
                    </w:rPr>
                  </w:pPr>
                  <w:r>
                    <w:t>-60.03℃</w:t>
                  </w:r>
                </w:p>
              </w:tc>
              <w:tc>
                <w:tcPr>
                  <w:tcW w:w="1400" w:type="dxa"/>
                  <w:tcBorders>
                    <w:tl2br w:val="nil"/>
                    <w:tr2bl w:val="nil"/>
                  </w:tcBorders>
                  <w:vAlign w:val="center"/>
                </w:tcPr>
                <w:p w14:paraId="20F352C6">
                  <w:pPr>
                    <w:pStyle w:val="38"/>
                    <w:bidi w:val="0"/>
                    <w:ind w:left="0" w:leftChars="0" w:right="0" w:rightChars="0" w:firstLine="0" w:firstLineChars="0"/>
                    <w:jc w:val="center"/>
                    <w:rPr>
                      <w:lang w:val="en-US" w:eastAsia="en-US"/>
                    </w:rPr>
                  </w:pPr>
                  <w:r>
                    <w:t>密度</w:t>
                  </w:r>
                </w:p>
              </w:tc>
              <w:tc>
                <w:tcPr>
                  <w:tcW w:w="3528" w:type="dxa"/>
                  <w:tcBorders>
                    <w:tl2br w:val="nil"/>
                    <w:tr2bl w:val="nil"/>
                  </w:tcBorders>
                  <w:vAlign w:val="center"/>
                </w:tcPr>
                <w:p w14:paraId="0E5DC867">
                  <w:pPr>
                    <w:pStyle w:val="38"/>
                    <w:bidi w:val="0"/>
                    <w:ind w:left="0" w:leftChars="0" w:right="0" w:rightChars="0" w:firstLine="0" w:firstLineChars="0"/>
                    <w:jc w:val="center"/>
                    <w:rPr>
                      <w:lang w:val="en-US" w:eastAsia="en-US"/>
                    </w:rPr>
                  </w:pPr>
                  <w:r>
                    <w:t>1.535g/L</w:t>
                  </w:r>
                </w:p>
              </w:tc>
            </w:tr>
            <w:tr w14:paraId="2935D0A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7EBE98E8">
                  <w:pPr>
                    <w:pStyle w:val="38"/>
                    <w:bidi w:val="0"/>
                    <w:ind w:left="0" w:leftChars="0" w:right="0" w:rightChars="0" w:firstLine="0" w:firstLineChars="0"/>
                    <w:jc w:val="center"/>
                    <w:rPr>
                      <w:lang w:val="en-US" w:eastAsia="en-US"/>
                    </w:rPr>
                  </w:pPr>
                  <w:r>
                    <w:rPr>
                      <w:rFonts w:hint="eastAsia"/>
                      <w:lang w:eastAsia="zh-CN"/>
                    </w:rPr>
                    <w:t>饱和蒸汽压</w:t>
                  </w:r>
                  <w:r>
                    <w:t>（kPa）</w:t>
                  </w:r>
                </w:p>
              </w:tc>
              <w:tc>
                <w:tcPr>
                  <w:tcW w:w="1879" w:type="dxa"/>
                  <w:tcBorders>
                    <w:tl2br w:val="nil"/>
                    <w:tr2bl w:val="nil"/>
                  </w:tcBorders>
                  <w:vAlign w:val="center"/>
                </w:tcPr>
                <w:p w14:paraId="31D2945D">
                  <w:pPr>
                    <w:pStyle w:val="38"/>
                    <w:bidi w:val="0"/>
                    <w:ind w:left="0" w:leftChars="0" w:right="0" w:rightChars="0" w:firstLine="0" w:firstLineChars="0"/>
                    <w:jc w:val="center"/>
                    <w:rPr>
                      <w:lang w:val="en-US" w:eastAsia="en-US"/>
                    </w:rPr>
                  </w:pPr>
                  <w:r>
                    <w:t>2026.5/25.5℃</w:t>
                  </w:r>
                </w:p>
              </w:tc>
              <w:tc>
                <w:tcPr>
                  <w:tcW w:w="1400" w:type="dxa"/>
                  <w:tcBorders>
                    <w:tl2br w:val="nil"/>
                    <w:tr2bl w:val="nil"/>
                  </w:tcBorders>
                  <w:vAlign w:val="center"/>
                </w:tcPr>
                <w:p w14:paraId="5D64E1F3">
                  <w:pPr>
                    <w:pStyle w:val="38"/>
                    <w:bidi w:val="0"/>
                    <w:ind w:left="0" w:leftChars="0" w:right="0" w:rightChars="0" w:firstLine="0" w:firstLineChars="0"/>
                    <w:jc w:val="center"/>
                    <w:rPr>
                      <w:lang w:val="en-US" w:eastAsia="en-US"/>
                    </w:rPr>
                  </w:pPr>
                  <w:r>
                    <w:t>溶解性</w:t>
                  </w:r>
                </w:p>
              </w:tc>
              <w:tc>
                <w:tcPr>
                  <w:tcW w:w="3528" w:type="dxa"/>
                  <w:tcBorders>
                    <w:tl2br w:val="nil"/>
                    <w:tr2bl w:val="nil"/>
                  </w:tcBorders>
                  <w:vAlign w:val="center"/>
                </w:tcPr>
                <w:p w14:paraId="0D41C1DF">
                  <w:pPr>
                    <w:pStyle w:val="38"/>
                    <w:bidi w:val="0"/>
                    <w:ind w:left="0" w:leftChars="0" w:right="0" w:rightChars="0" w:firstLine="0" w:firstLineChars="0"/>
                    <w:jc w:val="center"/>
                    <w:rPr>
                      <w:lang w:val="en-US" w:eastAsia="en-US"/>
                    </w:rPr>
                  </w:pPr>
                  <w:r>
                    <w:t>溶于水、乙醇</w:t>
                  </w:r>
                </w:p>
              </w:tc>
            </w:tr>
            <w:tr w14:paraId="4E7F73C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vMerge w:val="restart"/>
                  <w:tcBorders>
                    <w:tl2br w:val="nil"/>
                    <w:tr2bl w:val="nil"/>
                  </w:tcBorders>
                  <w:vAlign w:val="center"/>
                </w:tcPr>
                <w:p w14:paraId="487A125E">
                  <w:pPr>
                    <w:pStyle w:val="38"/>
                    <w:bidi w:val="0"/>
                    <w:ind w:left="0" w:leftChars="0" w:right="0" w:rightChars="0" w:firstLine="0" w:firstLineChars="0"/>
                    <w:jc w:val="center"/>
                    <w:rPr>
                      <w:b/>
                      <w:bCs/>
                      <w:lang w:val="en-US" w:eastAsia="en-US"/>
                    </w:rPr>
                  </w:pPr>
                  <w:r>
                    <w:rPr>
                      <w:b/>
                      <w:bCs/>
                      <w:lang w:val="en-US" w:eastAsia="en-US"/>
                    </w:rPr>
                    <w:t>危险特性</w:t>
                  </w:r>
                </w:p>
              </w:tc>
              <w:tc>
                <w:tcPr>
                  <w:tcW w:w="6807" w:type="dxa"/>
                  <w:gridSpan w:val="3"/>
                  <w:tcBorders>
                    <w:tl2br w:val="nil"/>
                    <w:tr2bl w:val="nil"/>
                  </w:tcBorders>
                  <w:vAlign w:val="center"/>
                </w:tcPr>
                <w:p w14:paraId="36563F0D">
                  <w:pPr>
                    <w:pStyle w:val="38"/>
                    <w:bidi w:val="0"/>
                    <w:ind w:left="0" w:leftChars="0" w:right="0" w:rightChars="0" w:firstLine="0" w:firstLineChars="0"/>
                    <w:jc w:val="center"/>
                    <w:rPr>
                      <w:lang w:val="en-US" w:eastAsia="en-US"/>
                    </w:rPr>
                  </w:pPr>
                  <w:r>
                    <w:t>危险类别：第2.1类有毒气体</w:t>
                  </w:r>
                </w:p>
              </w:tc>
            </w:tr>
            <w:tr w14:paraId="0463B5C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702" w:type="dxa"/>
                  <w:vMerge w:val="continue"/>
                  <w:tcBorders>
                    <w:tl2br w:val="nil"/>
                    <w:tr2bl w:val="nil"/>
                  </w:tcBorders>
                  <w:vAlign w:val="center"/>
                </w:tcPr>
                <w:p w14:paraId="3D7A1A6D">
                  <w:pPr>
                    <w:pStyle w:val="38"/>
                    <w:bidi w:val="0"/>
                    <w:ind w:left="0" w:leftChars="0" w:right="0" w:rightChars="0" w:firstLine="0" w:firstLineChars="0"/>
                    <w:jc w:val="center"/>
                    <w:rPr>
                      <w:b/>
                      <w:bCs/>
                      <w:lang w:eastAsia="en-US"/>
                    </w:rPr>
                  </w:pPr>
                </w:p>
              </w:tc>
              <w:tc>
                <w:tcPr>
                  <w:tcW w:w="6807" w:type="dxa"/>
                  <w:gridSpan w:val="3"/>
                  <w:tcBorders>
                    <w:tl2br w:val="nil"/>
                    <w:tr2bl w:val="nil"/>
                  </w:tcBorders>
                  <w:vAlign w:val="center"/>
                </w:tcPr>
                <w:p w14:paraId="1F204C9D">
                  <w:pPr>
                    <w:pStyle w:val="38"/>
                    <w:bidi w:val="0"/>
                    <w:ind w:left="0" w:leftChars="0" w:right="0" w:rightChars="0" w:firstLine="0" w:firstLineChars="0"/>
                    <w:jc w:val="center"/>
                    <w:rPr>
                      <w:lang w:val="en-US" w:eastAsia="en-US"/>
                    </w:rPr>
                  </w:pPr>
                  <w:r>
                    <w:t>遇空气能够形成爆炸性混合物，遇明火、高热能够引起爆炸。若遇高热，容器内压力变大，有开裂与爆炸的危险。</w:t>
                  </w:r>
                </w:p>
              </w:tc>
            </w:tr>
            <w:tr w14:paraId="4A6C8C4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702" w:type="dxa"/>
                  <w:tcBorders>
                    <w:tl2br w:val="nil"/>
                    <w:tr2bl w:val="nil"/>
                  </w:tcBorders>
                  <w:vAlign w:val="center"/>
                </w:tcPr>
                <w:p w14:paraId="0A9D3D96">
                  <w:pPr>
                    <w:pStyle w:val="38"/>
                    <w:bidi w:val="0"/>
                    <w:ind w:left="0" w:leftChars="0" w:right="0" w:rightChars="0" w:firstLine="0" w:firstLineChars="0"/>
                    <w:jc w:val="center"/>
                    <w:rPr>
                      <w:b/>
                      <w:bCs/>
                      <w:lang w:val="en-US" w:eastAsia="en-US"/>
                    </w:rPr>
                  </w:pPr>
                  <w:r>
                    <w:rPr>
                      <w:b/>
                      <w:bCs/>
                      <w:lang w:val="en-US" w:eastAsia="en-US"/>
                    </w:rPr>
                    <w:t>健康危害</w:t>
                  </w:r>
                </w:p>
              </w:tc>
              <w:tc>
                <w:tcPr>
                  <w:tcW w:w="6807" w:type="dxa"/>
                  <w:gridSpan w:val="3"/>
                  <w:tcBorders>
                    <w:tl2br w:val="nil"/>
                    <w:tr2bl w:val="nil"/>
                  </w:tcBorders>
                  <w:vAlign w:val="center"/>
                </w:tcPr>
                <w:p w14:paraId="0D432F28">
                  <w:pPr>
                    <w:pStyle w:val="38"/>
                    <w:bidi w:val="0"/>
                    <w:ind w:left="0" w:leftChars="0" w:right="0" w:rightChars="0" w:firstLine="0" w:firstLineChars="0"/>
                    <w:jc w:val="center"/>
                    <w:rPr>
                      <w:lang w:val="en-US" w:eastAsia="en-US"/>
                    </w:rPr>
                  </w:pPr>
                  <w:r>
                    <w:rPr>
                      <w:rFonts w:hint="eastAsia"/>
                      <w:lang w:val="en-US" w:eastAsia="en-US"/>
                    </w:rPr>
                    <w:t>是强烈的神经毒物，对粘膜有强烈的刺激作用。高浓度时可直接抑制呼吸中枢，引起迅速窒息而死亡。当浓度为70~150mg/</w:t>
                  </w:r>
                  <w:r>
                    <w:t>m</w:t>
                  </w:r>
                  <w:r>
                    <w:rPr>
                      <w:vertAlign w:val="superscript"/>
                    </w:rPr>
                    <w:t>3</w:t>
                  </w:r>
                  <w:r>
                    <w:rPr>
                      <w:rFonts w:hint="eastAsia"/>
                      <w:lang w:val="en-US" w:eastAsia="en-US"/>
                    </w:rPr>
                    <w:t>时，可引起眼结膜炎、鼻炎、咽炎、气管炎浓度为700mg/</w:t>
                  </w:r>
                  <w:r>
                    <w:rPr>
                      <w:rFonts w:hint="eastAsia"/>
                      <w:vertAlign w:val="superscript"/>
                      <w:lang w:val="en-US" w:eastAsia="en-US"/>
                    </w:rPr>
                    <w:t>3</w:t>
                  </w:r>
                  <w:r>
                    <w:rPr>
                      <w:rFonts w:hint="eastAsia"/>
                      <w:lang w:val="en-US" w:eastAsia="en-US"/>
                    </w:rPr>
                    <w:t>时，可引起急性支气管炎和肺炎；浓度为1000mg/</w:t>
                  </w:r>
                  <w:r>
                    <w:t>m</w:t>
                  </w:r>
                  <w:r>
                    <w:rPr>
                      <w:vertAlign w:val="superscript"/>
                    </w:rPr>
                    <w:t>3</w:t>
                  </w:r>
                  <w:r>
                    <w:rPr>
                      <w:rFonts w:hint="eastAsia"/>
                      <w:lang w:val="en-US" w:eastAsia="en-US"/>
                    </w:rPr>
                    <w:t>以上时，可引起呼吸麻痹，迅速</w:t>
                  </w:r>
                  <w:r>
                    <w:rPr>
                      <w:rFonts w:hint="eastAsia"/>
                      <w:lang w:val="en-US" w:eastAsia="zh-CN"/>
                    </w:rPr>
                    <w:t>窒</w:t>
                  </w:r>
                  <w:r>
                    <w:rPr>
                      <w:rFonts w:hint="eastAsia"/>
                      <w:lang w:val="en-US" w:eastAsia="en-US"/>
                    </w:rPr>
                    <w:t>息而死亡。长期接触低浓度的硫化氢，引起神衰症候群及</w:t>
                  </w:r>
                  <w:r>
                    <w:rPr>
                      <w:rFonts w:hint="eastAsia"/>
                      <w:lang w:val="en-US" w:eastAsia="zh-CN"/>
                    </w:rPr>
                    <w:t>自主神经</w:t>
                  </w:r>
                  <w:r>
                    <w:rPr>
                      <w:rFonts w:hint="eastAsia"/>
                      <w:lang w:val="en-US" w:eastAsia="en-US"/>
                    </w:rPr>
                    <w:t>紊乱等症状</w:t>
                  </w:r>
                  <w:r>
                    <w:rPr>
                      <w:lang w:val="en-US" w:eastAsia="en-US"/>
                    </w:rPr>
                    <w:t>。</w:t>
                  </w:r>
                </w:p>
              </w:tc>
            </w:tr>
          </w:tbl>
          <w:p w14:paraId="1F8E4460">
            <w:pPr>
              <w:pStyle w:val="36"/>
              <w:ind w:firstLine="480"/>
              <w:rPr>
                <w:rFonts w:hint="default"/>
              </w:rPr>
            </w:pPr>
            <w:r>
              <w:t>②生产系统危险性识别</w:t>
            </w:r>
          </w:p>
          <w:p w14:paraId="35E0E8A4">
            <w:pPr>
              <w:pStyle w:val="36"/>
              <w:ind w:firstLine="480"/>
              <w:rPr>
                <w:rFonts w:hint="default"/>
              </w:rPr>
            </w:pPr>
            <w:r>
              <w:t>生产系统危险性识别包括主要生产装置、储运设备、公用工程和辅助生产设施，以及环境保护设施等。</w:t>
            </w:r>
          </w:p>
          <w:p w14:paraId="535719E9">
            <w:pPr>
              <w:pStyle w:val="36"/>
              <w:ind w:firstLine="480"/>
              <w:rPr>
                <w:rFonts w:hint="default"/>
              </w:rPr>
            </w:pPr>
            <w:r>
              <w:t>项目运行过程中危废暂存间会储存有废润滑油等，若处置不当有可能发生泄漏风险，遇明火可能导致火灾；</w:t>
            </w:r>
          </w:p>
          <w:p w14:paraId="5CAC1616">
            <w:pPr>
              <w:pStyle w:val="36"/>
              <w:ind w:firstLine="480"/>
              <w:rPr>
                <w:rFonts w:hint="default" w:eastAsia="宋体"/>
                <w:lang w:val="en-US" w:eastAsia="zh-CN"/>
              </w:rPr>
            </w:pPr>
            <w:r>
              <w:t>项目运营过程主要为生活污水处理或污泥脱水，项目生产设备主要为各污水处理构筑物、泵机、污泥料仓及输送系统、初步脱水系统、深度脱水系统、低温除湿干化系统、干化污泥输送及料仓系统等，基本无生产设施风险。</w:t>
            </w:r>
            <w:r>
              <w:rPr>
                <w:rFonts w:hint="eastAsia"/>
                <w:lang w:val="en-US" w:eastAsia="zh-CN"/>
              </w:rPr>
              <w:t>但是项目运行过程中不可避免会产生少量硫化氢、氨等臭气污染物，在有限空间作用可能导致中毒窒息事故；</w:t>
            </w:r>
          </w:p>
          <w:p w14:paraId="6E335E70">
            <w:pPr>
              <w:pStyle w:val="36"/>
              <w:ind w:firstLine="480"/>
              <w:rPr>
                <w:rFonts w:hint="default"/>
              </w:rPr>
            </w:pPr>
            <w:r>
              <w:rPr>
                <w:rFonts w:hint="default"/>
              </w:rPr>
              <w:t>根据物料性质，项目使用的</w:t>
            </w:r>
            <w:r>
              <w:t>部分药品添加剂</w:t>
            </w:r>
            <w:r>
              <w:rPr>
                <w:rFonts w:hint="default"/>
              </w:rPr>
              <w:t>对人体有毒害作用。如因设备缺陷或操作失误而引起泄漏会挥发成</w:t>
            </w:r>
            <w:r>
              <w:t>蒸气</w:t>
            </w:r>
            <w:r>
              <w:rPr>
                <w:rFonts w:hint="default"/>
              </w:rPr>
              <w:t>，对环境造成严重污染，同时也会造成中毒等事故。</w:t>
            </w:r>
          </w:p>
          <w:p w14:paraId="6727F70D">
            <w:pPr>
              <w:pStyle w:val="36"/>
              <w:ind w:firstLine="480"/>
              <w:rPr>
                <w:rFonts w:hint="default"/>
              </w:rPr>
            </w:pPr>
            <w:r>
              <w:t>操作不当，污水处理系统运行不正常，将降低活性污泥浓度，使得生化效率下降，出现事故性排放。</w:t>
            </w:r>
          </w:p>
          <w:p w14:paraId="2030B6A0">
            <w:pPr>
              <w:pStyle w:val="36"/>
              <w:ind w:firstLine="480"/>
              <w:rPr>
                <w:rFonts w:hint="default"/>
              </w:rPr>
            </w:pPr>
            <w:r>
              <w:t>③危险物质向环境转移的途径识别</w:t>
            </w:r>
          </w:p>
          <w:p w14:paraId="1E3907E1">
            <w:pPr>
              <w:pStyle w:val="36"/>
              <w:ind w:firstLine="480"/>
              <w:rPr>
                <w:rFonts w:hint="default"/>
              </w:rPr>
            </w:pPr>
            <w:r>
              <w:t>环境风险类型包括危险物质泄漏，以及火灾、爆炸等引发的伴生/次生污染物排放。根据物质及生产系统危险性识别结果，分析环境风险类型，危险物质向环境转移的可能途径和影响方式。</w:t>
            </w:r>
          </w:p>
          <w:p w14:paraId="77C61C94">
            <w:pPr>
              <w:pStyle w:val="36"/>
              <w:ind w:firstLine="480"/>
              <w:rPr>
                <w:rFonts w:hint="default"/>
              </w:rPr>
            </w:pPr>
            <w:r>
              <w:t>项目运营过程中不涉及危险物质向环境转移，因此不对危险物质向环境转移的可能途径和影响方式进行分析。</w:t>
            </w:r>
          </w:p>
          <w:p w14:paraId="3AFA2481">
            <w:pPr>
              <w:pStyle w:val="52"/>
            </w:pPr>
            <w:bookmarkStart w:id="59" w:name="_Ref32186"/>
            <w:r>
              <w:t>建设项目环境风险识别表</w:t>
            </w:r>
            <w:bookmarkEnd w:id="59"/>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753"/>
              <w:gridCol w:w="754"/>
              <w:gridCol w:w="943"/>
              <w:gridCol w:w="1279"/>
              <w:gridCol w:w="1682"/>
              <w:gridCol w:w="1205"/>
              <w:gridCol w:w="1407"/>
              <w:gridCol w:w="888"/>
            </w:tblGrid>
            <w:tr w14:paraId="65D892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422" w:type="pct"/>
                  <w:tcBorders>
                    <w:tl2br w:val="nil"/>
                    <w:tr2bl w:val="nil"/>
                  </w:tcBorders>
                  <w:vAlign w:val="center"/>
                </w:tcPr>
                <w:p w14:paraId="386EB1CD">
                  <w:pPr>
                    <w:pBdr>
                      <w:top w:val="none" w:color="auto" w:sz="0" w:space="1"/>
                      <w:left w:val="none" w:color="auto" w:sz="0" w:space="4"/>
                      <w:bottom w:val="none" w:color="auto" w:sz="0" w:space="1"/>
                      <w:right w:val="none" w:color="auto" w:sz="0" w:space="4"/>
                    </w:pBd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423" w:type="pct"/>
                  <w:tcBorders>
                    <w:tl2br w:val="nil"/>
                    <w:tr2bl w:val="nil"/>
                  </w:tcBorders>
                  <w:vAlign w:val="center"/>
                </w:tcPr>
                <w:p w14:paraId="34ACF7C2">
                  <w:pPr>
                    <w:pBdr>
                      <w:top w:val="none" w:color="auto" w:sz="0" w:space="1"/>
                      <w:left w:val="none" w:color="auto" w:sz="0" w:space="4"/>
                      <w:bottom w:val="none" w:color="auto" w:sz="0" w:space="1"/>
                      <w:right w:val="none" w:color="auto" w:sz="0" w:space="4"/>
                    </w:pBd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危险单元</w:t>
                  </w:r>
                </w:p>
              </w:tc>
              <w:tc>
                <w:tcPr>
                  <w:tcW w:w="529" w:type="pct"/>
                  <w:tcBorders>
                    <w:tl2br w:val="nil"/>
                    <w:tr2bl w:val="nil"/>
                  </w:tcBorders>
                  <w:vAlign w:val="center"/>
                </w:tcPr>
                <w:p w14:paraId="747A0EAB">
                  <w:pPr>
                    <w:pBdr>
                      <w:top w:val="none" w:color="auto" w:sz="0" w:space="1"/>
                      <w:left w:val="none" w:color="auto" w:sz="0" w:space="4"/>
                      <w:bottom w:val="none" w:color="auto" w:sz="0" w:space="1"/>
                      <w:right w:val="none" w:color="auto" w:sz="0" w:space="4"/>
                    </w:pBd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风险源</w:t>
                  </w:r>
                </w:p>
              </w:tc>
              <w:tc>
                <w:tcPr>
                  <w:tcW w:w="717" w:type="pct"/>
                  <w:tcBorders>
                    <w:tl2br w:val="nil"/>
                    <w:tr2bl w:val="nil"/>
                  </w:tcBorders>
                  <w:vAlign w:val="center"/>
                </w:tcPr>
                <w:p w14:paraId="5664192C">
                  <w:pPr>
                    <w:pBdr>
                      <w:top w:val="none" w:color="auto" w:sz="0" w:space="1"/>
                      <w:left w:val="none" w:color="auto" w:sz="0" w:space="4"/>
                      <w:bottom w:val="none" w:color="auto" w:sz="0" w:space="1"/>
                      <w:right w:val="none" w:color="auto" w:sz="0" w:space="4"/>
                    </w:pBd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主要危险物质</w:t>
                  </w:r>
                </w:p>
              </w:tc>
              <w:tc>
                <w:tcPr>
                  <w:tcW w:w="943" w:type="pct"/>
                  <w:tcBorders>
                    <w:tl2br w:val="nil"/>
                    <w:tr2bl w:val="nil"/>
                  </w:tcBorders>
                  <w:vAlign w:val="center"/>
                </w:tcPr>
                <w:p w14:paraId="09B5D34B">
                  <w:pPr>
                    <w:pBdr>
                      <w:top w:val="none" w:color="auto" w:sz="0" w:space="1"/>
                      <w:left w:val="none" w:color="auto" w:sz="0" w:space="4"/>
                      <w:bottom w:val="none" w:color="auto" w:sz="0" w:space="1"/>
                      <w:right w:val="none" w:color="auto" w:sz="0" w:space="4"/>
                    </w:pBd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环境风险类型</w:t>
                  </w:r>
                </w:p>
              </w:tc>
              <w:tc>
                <w:tcPr>
                  <w:tcW w:w="676" w:type="pct"/>
                  <w:tcBorders>
                    <w:tl2br w:val="nil"/>
                    <w:tr2bl w:val="nil"/>
                  </w:tcBorders>
                  <w:vAlign w:val="center"/>
                </w:tcPr>
                <w:p w14:paraId="76D335D6">
                  <w:pPr>
                    <w:pBdr>
                      <w:top w:val="none" w:color="auto" w:sz="0" w:space="1"/>
                      <w:left w:val="none" w:color="auto" w:sz="0" w:space="4"/>
                      <w:bottom w:val="none" w:color="auto" w:sz="0" w:space="1"/>
                      <w:right w:val="none" w:color="auto" w:sz="0" w:space="4"/>
                    </w:pBd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环境影响途径</w:t>
                  </w:r>
                </w:p>
              </w:tc>
              <w:tc>
                <w:tcPr>
                  <w:tcW w:w="789" w:type="pct"/>
                  <w:tcBorders>
                    <w:tl2br w:val="nil"/>
                    <w:tr2bl w:val="nil"/>
                  </w:tcBorders>
                  <w:vAlign w:val="center"/>
                </w:tcPr>
                <w:p w14:paraId="222E790C">
                  <w:pPr>
                    <w:pBdr>
                      <w:top w:val="none" w:color="auto" w:sz="0" w:space="1"/>
                      <w:left w:val="none" w:color="auto" w:sz="0" w:space="4"/>
                      <w:bottom w:val="none" w:color="auto" w:sz="0" w:space="1"/>
                      <w:right w:val="none" w:color="auto" w:sz="0" w:space="4"/>
                    </w:pBd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可能受影响的环境敏感目标</w:t>
                  </w:r>
                </w:p>
              </w:tc>
              <w:tc>
                <w:tcPr>
                  <w:tcW w:w="498" w:type="pct"/>
                  <w:tcBorders>
                    <w:tl2br w:val="nil"/>
                    <w:tr2bl w:val="nil"/>
                  </w:tcBorders>
                  <w:vAlign w:val="center"/>
                </w:tcPr>
                <w:p w14:paraId="554E92A9">
                  <w:pPr>
                    <w:pBdr>
                      <w:top w:val="none" w:color="auto" w:sz="0" w:space="1"/>
                      <w:left w:val="none" w:color="auto" w:sz="0" w:space="4"/>
                      <w:bottom w:val="none" w:color="auto" w:sz="0" w:space="1"/>
                      <w:right w:val="none" w:color="auto" w:sz="0" w:space="4"/>
                    </w:pBd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备注</w:t>
                  </w:r>
                </w:p>
              </w:tc>
            </w:tr>
            <w:tr w14:paraId="47EAAD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422" w:type="pct"/>
                  <w:vMerge w:val="restart"/>
                  <w:tcBorders>
                    <w:tl2br w:val="nil"/>
                    <w:tr2bl w:val="nil"/>
                  </w:tcBorders>
                  <w:vAlign w:val="center"/>
                </w:tcPr>
                <w:p w14:paraId="6FAE475A">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23" w:type="pct"/>
                  <w:vMerge w:val="restart"/>
                  <w:tcBorders>
                    <w:tl2br w:val="nil"/>
                    <w:tr2bl w:val="nil"/>
                  </w:tcBorders>
                  <w:vAlign w:val="center"/>
                </w:tcPr>
                <w:p w14:paraId="13584229">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加药间</w:t>
                  </w:r>
                </w:p>
              </w:tc>
              <w:tc>
                <w:tcPr>
                  <w:tcW w:w="529" w:type="pct"/>
                  <w:vMerge w:val="restart"/>
                  <w:tcBorders>
                    <w:tl2br w:val="nil"/>
                    <w:tr2bl w:val="nil"/>
                  </w:tcBorders>
                  <w:vAlign w:val="center"/>
                </w:tcPr>
                <w:p w14:paraId="2A9491B2">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次氯酸钠储罐</w:t>
                  </w:r>
                </w:p>
              </w:tc>
              <w:tc>
                <w:tcPr>
                  <w:tcW w:w="717" w:type="pct"/>
                  <w:vMerge w:val="restart"/>
                  <w:tcBorders>
                    <w:tl2br w:val="nil"/>
                    <w:tr2bl w:val="nil"/>
                  </w:tcBorders>
                  <w:vAlign w:val="center"/>
                </w:tcPr>
                <w:p w14:paraId="49D21E41">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次氯酸钠</w:t>
                  </w:r>
                </w:p>
              </w:tc>
              <w:tc>
                <w:tcPr>
                  <w:tcW w:w="943" w:type="pct"/>
                  <w:tcBorders>
                    <w:tl2br w:val="nil"/>
                    <w:tr2bl w:val="nil"/>
                  </w:tcBorders>
                  <w:vAlign w:val="center"/>
                </w:tcPr>
                <w:p w14:paraId="17831878">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储存容器破损导致危险物质泄漏</w:t>
                  </w:r>
                </w:p>
              </w:tc>
              <w:tc>
                <w:tcPr>
                  <w:tcW w:w="676" w:type="pct"/>
                  <w:vMerge w:val="restart"/>
                  <w:tcBorders>
                    <w:tl2br w:val="nil"/>
                    <w:tr2bl w:val="nil"/>
                  </w:tcBorders>
                  <w:vAlign w:val="center"/>
                </w:tcPr>
                <w:p w14:paraId="520D9E48">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向大气扩散、向地表水中运移扩散、向地下水中运移扩散</w:t>
                  </w:r>
                </w:p>
              </w:tc>
              <w:tc>
                <w:tcPr>
                  <w:tcW w:w="789" w:type="pct"/>
                  <w:vMerge w:val="restart"/>
                  <w:tcBorders>
                    <w:tl2br w:val="nil"/>
                    <w:tr2bl w:val="nil"/>
                  </w:tcBorders>
                  <w:vAlign w:val="center"/>
                </w:tcPr>
                <w:p w14:paraId="16B36F89">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环境空气敏感目标、上犹江、</w:t>
                  </w:r>
                  <w:r>
                    <w:rPr>
                      <w:rFonts w:hint="eastAsia"/>
                      <w:color w:val="000000" w:themeColor="text1"/>
                      <w:szCs w:val="21"/>
                      <w:lang w:eastAsia="zh-CN"/>
                      <w14:textFill>
                        <w14:solidFill>
                          <w14:schemeClr w14:val="tx1"/>
                        </w14:solidFill>
                      </w14:textFill>
                    </w:rPr>
                    <w:t>青塘河</w:t>
                  </w:r>
                  <w:r>
                    <w:rPr>
                      <w:rFonts w:hint="eastAsia"/>
                      <w:color w:val="000000" w:themeColor="text1"/>
                      <w:szCs w:val="21"/>
                      <w14:textFill>
                        <w14:solidFill>
                          <w14:schemeClr w14:val="tx1"/>
                        </w14:solidFill>
                      </w14:textFill>
                    </w:rPr>
                    <w:t>、地下水</w:t>
                  </w:r>
                </w:p>
              </w:tc>
              <w:tc>
                <w:tcPr>
                  <w:tcW w:w="498" w:type="pct"/>
                  <w:vMerge w:val="restart"/>
                  <w:tcBorders>
                    <w:tl2br w:val="nil"/>
                    <w:tr2bl w:val="nil"/>
                  </w:tcBorders>
                  <w:vAlign w:val="center"/>
                </w:tcPr>
                <w:p w14:paraId="25BF5F7E">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重点风险源</w:t>
                  </w:r>
                </w:p>
              </w:tc>
            </w:tr>
            <w:tr w14:paraId="7BC79E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vAlign w:val="center"/>
                </w:tcPr>
                <w:p w14:paraId="0966FCC8">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423" w:type="pct"/>
                  <w:vMerge w:val="continue"/>
                  <w:tcBorders>
                    <w:tl2br w:val="nil"/>
                    <w:tr2bl w:val="nil"/>
                  </w:tcBorders>
                  <w:vAlign w:val="center"/>
                </w:tcPr>
                <w:p w14:paraId="6ADD717C">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529" w:type="pct"/>
                  <w:vMerge w:val="continue"/>
                  <w:tcBorders>
                    <w:tl2br w:val="nil"/>
                    <w:tr2bl w:val="nil"/>
                  </w:tcBorders>
                  <w:vAlign w:val="center"/>
                </w:tcPr>
                <w:p w14:paraId="21D1C454">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717" w:type="pct"/>
                  <w:vMerge w:val="continue"/>
                  <w:tcBorders>
                    <w:tl2br w:val="nil"/>
                    <w:tr2bl w:val="nil"/>
                  </w:tcBorders>
                  <w:vAlign w:val="center"/>
                </w:tcPr>
                <w:p w14:paraId="7285DE59">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943" w:type="pct"/>
                  <w:tcBorders>
                    <w:tl2br w:val="nil"/>
                    <w:tr2bl w:val="nil"/>
                  </w:tcBorders>
                  <w:vAlign w:val="center"/>
                </w:tcPr>
                <w:p w14:paraId="3046A557">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火灾、爆炸等引发的伴生/次生污染物排放</w:t>
                  </w:r>
                </w:p>
              </w:tc>
              <w:tc>
                <w:tcPr>
                  <w:tcW w:w="676" w:type="pct"/>
                  <w:vMerge w:val="continue"/>
                  <w:tcBorders>
                    <w:tl2br w:val="nil"/>
                    <w:tr2bl w:val="nil"/>
                  </w:tcBorders>
                  <w:vAlign w:val="center"/>
                </w:tcPr>
                <w:p w14:paraId="7BAEE37E">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789" w:type="pct"/>
                  <w:vMerge w:val="continue"/>
                  <w:tcBorders>
                    <w:tl2br w:val="nil"/>
                    <w:tr2bl w:val="nil"/>
                  </w:tcBorders>
                  <w:vAlign w:val="center"/>
                </w:tcPr>
                <w:p w14:paraId="2A7F12C2">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498" w:type="pct"/>
                  <w:vMerge w:val="continue"/>
                  <w:tcBorders>
                    <w:tl2br w:val="nil"/>
                    <w:tr2bl w:val="nil"/>
                  </w:tcBorders>
                  <w:vAlign w:val="center"/>
                </w:tcPr>
                <w:p w14:paraId="3EC346B0">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r>
            <w:tr w14:paraId="4448FB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422" w:type="pct"/>
                  <w:vMerge w:val="restart"/>
                  <w:tcBorders>
                    <w:tl2br w:val="nil"/>
                    <w:tr2bl w:val="nil"/>
                  </w:tcBorders>
                  <w:vAlign w:val="center"/>
                </w:tcPr>
                <w:p w14:paraId="60FF3121">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423" w:type="pct"/>
                  <w:vMerge w:val="restart"/>
                  <w:tcBorders>
                    <w:tl2br w:val="nil"/>
                    <w:tr2bl w:val="nil"/>
                  </w:tcBorders>
                  <w:vAlign w:val="center"/>
                </w:tcPr>
                <w:p w14:paraId="3485773B">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危废间</w:t>
                  </w:r>
                </w:p>
              </w:tc>
              <w:tc>
                <w:tcPr>
                  <w:tcW w:w="529" w:type="pct"/>
                  <w:vMerge w:val="restart"/>
                  <w:tcBorders>
                    <w:tl2br w:val="nil"/>
                    <w:tr2bl w:val="nil"/>
                  </w:tcBorders>
                  <w:vAlign w:val="center"/>
                </w:tcPr>
                <w:p w14:paraId="7BA02C00">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w:t>
                  </w:r>
                </w:p>
              </w:tc>
              <w:tc>
                <w:tcPr>
                  <w:tcW w:w="717" w:type="pct"/>
                  <w:vMerge w:val="restart"/>
                  <w:tcBorders>
                    <w:tl2br w:val="nil"/>
                    <w:tr2bl w:val="nil"/>
                  </w:tcBorders>
                  <w:vAlign w:val="center"/>
                </w:tcPr>
                <w:p w14:paraId="08E7A6BC">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实验室废液、在线监测废液实验废包装物、废试剂等</w:t>
                  </w:r>
                </w:p>
              </w:tc>
              <w:tc>
                <w:tcPr>
                  <w:tcW w:w="943" w:type="pct"/>
                  <w:tcBorders>
                    <w:tl2br w:val="nil"/>
                    <w:tr2bl w:val="nil"/>
                  </w:tcBorders>
                  <w:vAlign w:val="center"/>
                </w:tcPr>
                <w:p w14:paraId="63EC33C3">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危险物质泄漏</w:t>
                  </w:r>
                </w:p>
              </w:tc>
              <w:tc>
                <w:tcPr>
                  <w:tcW w:w="676" w:type="pct"/>
                  <w:vMerge w:val="restart"/>
                  <w:tcBorders>
                    <w:tl2br w:val="nil"/>
                    <w:tr2bl w:val="nil"/>
                  </w:tcBorders>
                  <w:vAlign w:val="center"/>
                </w:tcPr>
                <w:p w14:paraId="199208D8">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向大气扩散、向地表水中运移扩散、向地下水中运移扩散</w:t>
                  </w:r>
                </w:p>
              </w:tc>
              <w:tc>
                <w:tcPr>
                  <w:tcW w:w="789" w:type="pct"/>
                  <w:vMerge w:val="restart"/>
                  <w:tcBorders>
                    <w:tl2br w:val="nil"/>
                    <w:tr2bl w:val="nil"/>
                  </w:tcBorders>
                  <w:vAlign w:val="center"/>
                </w:tcPr>
                <w:p w14:paraId="781C03A4">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环境空气敏感目标、</w:t>
                  </w:r>
                  <w:r>
                    <w:rPr>
                      <w:rFonts w:hint="eastAsia"/>
                      <w:color w:val="000000" w:themeColor="text1"/>
                      <w:szCs w:val="21"/>
                      <w:lang w:eastAsia="zh-CN"/>
                      <w14:textFill>
                        <w14:solidFill>
                          <w14:schemeClr w14:val="tx1"/>
                        </w14:solidFill>
                      </w14:textFill>
                    </w:rPr>
                    <w:t>青塘河</w:t>
                  </w:r>
                  <w:r>
                    <w:rPr>
                      <w:rFonts w:hint="eastAsia"/>
                      <w:color w:val="000000" w:themeColor="text1"/>
                      <w:szCs w:val="21"/>
                      <w14:textFill>
                        <w14:solidFill>
                          <w14:schemeClr w14:val="tx1"/>
                        </w14:solidFill>
                      </w14:textFill>
                    </w:rPr>
                    <w:t>、地下水</w:t>
                  </w:r>
                </w:p>
              </w:tc>
              <w:tc>
                <w:tcPr>
                  <w:tcW w:w="498" w:type="pct"/>
                  <w:vMerge w:val="restart"/>
                  <w:tcBorders>
                    <w:tl2br w:val="nil"/>
                    <w:tr2bl w:val="nil"/>
                  </w:tcBorders>
                  <w:vAlign w:val="center"/>
                </w:tcPr>
                <w:p w14:paraId="1DEE1332">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重点风险源</w:t>
                  </w:r>
                </w:p>
              </w:tc>
            </w:tr>
            <w:tr w14:paraId="0549EC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vAlign w:val="center"/>
                </w:tcPr>
                <w:p w14:paraId="16B50D3D">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423" w:type="pct"/>
                  <w:vMerge w:val="continue"/>
                  <w:tcBorders>
                    <w:tl2br w:val="nil"/>
                    <w:tr2bl w:val="nil"/>
                  </w:tcBorders>
                  <w:vAlign w:val="center"/>
                </w:tcPr>
                <w:p w14:paraId="41D05539">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529" w:type="pct"/>
                  <w:vMerge w:val="continue"/>
                  <w:tcBorders>
                    <w:tl2br w:val="nil"/>
                    <w:tr2bl w:val="nil"/>
                  </w:tcBorders>
                  <w:vAlign w:val="center"/>
                </w:tcPr>
                <w:p w14:paraId="22901E06">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717" w:type="pct"/>
                  <w:vMerge w:val="continue"/>
                  <w:tcBorders>
                    <w:tl2br w:val="nil"/>
                    <w:tr2bl w:val="nil"/>
                  </w:tcBorders>
                  <w:vAlign w:val="center"/>
                </w:tcPr>
                <w:p w14:paraId="4594A98F">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943" w:type="pct"/>
                  <w:tcBorders>
                    <w:tl2br w:val="nil"/>
                    <w:tr2bl w:val="nil"/>
                  </w:tcBorders>
                  <w:vAlign w:val="center"/>
                </w:tcPr>
                <w:p w14:paraId="70A2106F">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火灾、爆炸等引发的伴生/次生污染物排放</w:t>
                  </w:r>
                </w:p>
              </w:tc>
              <w:tc>
                <w:tcPr>
                  <w:tcW w:w="676" w:type="pct"/>
                  <w:vMerge w:val="continue"/>
                  <w:tcBorders>
                    <w:tl2br w:val="nil"/>
                    <w:tr2bl w:val="nil"/>
                  </w:tcBorders>
                  <w:vAlign w:val="center"/>
                </w:tcPr>
                <w:p w14:paraId="43F523DF">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789" w:type="pct"/>
                  <w:vMerge w:val="continue"/>
                  <w:tcBorders>
                    <w:tl2br w:val="nil"/>
                    <w:tr2bl w:val="nil"/>
                  </w:tcBorders>
                  <w:vAlign w:val="center"/>
                </w:tcPr>
                <w:p w14:paraId="065CC586">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498" w:type="pct"/>
                  <w:vMerge w:val="continue"/>
                  <w:tcBorders>
                    <w:tl2br w:val="nil"/>
                    <w:tr2bl w:val="nil"/>
                  </w:tcBorders>
                  <w:vAlign w:val="center"/>
                </w:tcPr>
                <w:p w14:paraId="546E29A8">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r>
            <w:tr w14:paraId="308F84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422" w:type="pct"/>
                  <w:vMerge w:val="restart"/>
                  <w:tcBorders>
                    <w:tl2br w:val="nil"/>
                    <w:tr2bl w:val="nil"/>
                  </w:tcBorders>
                  <w:vAlign w:val="center"/>
                </w:tcPr>
                <w:p w14:paraId="21C8E7F9">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23" w:type="pct"/>
                  <w:vMerge w:val="restart"/>
                  <w:tcBorders>
                    <w:tl2br w:val="nil"/>
                    <w:tr2bl w:val="nil"/>
                  </w:tcBorders>
                  <w:vAlign w:val="center"/>
                </w:tcPr>
                <w:p w14:paraId="344C5B77">
                  <w:pPr>
                    <w:pBdr>
                      <w:top w:val="none" w:color="auto" w:sz="0" w:space="1"/>
                      <w:left w:val="none" w:color="auto" w:sz="0" w:space="4"/>
                      <w:bottom w:val="none" w:color="auto" w:sz="0" w:space="1"/>
                      <w:right w:val="none" w:color="auto" w:sz="0" w:space="4"/>
                    </w:pBd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污水处理设施</w:t>
                  </w:r>
                </w:p>
              </w:tc>
              <w:tc>
                <w:tcPr>
                  <w:tcW w:w="529" w:type="pct"/>
                  <w:vMerge w:val="restart"/>
                  <w:tcBorders>
                    <w:tl2br w:val="nil"/>
                    <w:tr2bl w:val="nil"/>
                  </w:tcBorders>
                  <w:vAlign w:val="center"/>
                </w:tcPr>
                <w:p w14:paraId="1B507C98">
                  <w:pPr>
                    <w:pBdr>
                      <w:top w:val="none" w:color="auto" w:sz="0" w:space="1"/>
                      <w:left w:val="none" w:color="auto" w:sz="0" w:space="4"/>
                      <w:bottom w:val="none" w:color="auto" w:sz="0" w:space="1"/>
                      <w:right w:val="none" w:color="auto" w:sz="0" w:space="4"/>
                    </w:pBd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各</w:t>
                  </w:r>
                  <w:r>
                    <w:rPr>
                      <w:rFonts w:hint="eastAsia"/>
                      <w:color w:val="000000" w:themeColor="text1"/>
                      <w:szCs w:val="21"/>
                      <w:lang w:val="en-US" w:eastAsia="zh-CN"/>
                      <w14:textFill>
                        <w14:solidFill>
                          <w14:schemeClr w14:val="tx1"/>
                        </w14:solidFill>
                      </w14:textFill>
                    </w:rPr>
                    <w:t>一体化设备</w:t>
                  </w:r>
                </w:p>
              </w:tc>
              <w:tc>
                <w:tcPr>
                  <w:tcW w:w="717" w:type="pct"/>
                  <w:tcBorders>
                    <w:tl2br w:val="nil"/>
                    <w:tr2bl w:val="nil"/>
                  </w:tcBorders>
                  <w:vAlign w:val="center"/>
                </w:tcPr>
                <w:p w14:paraId="287FB75D">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事故废水</w:t>
                  </w:r>
                </w:p>
              </w:tc>
              <w:tc>
                <w:tcPr>
                  <w:tcW w:w="943" w:type="pct"/>
                  <w:tcBorders>
                    <w:tl2br w:val="nil"/>
                    <w:tr2bl w:val="nil"/>
                  </w:tcBorders>
                  <w:vAlign w:val="center"/>
                </w:tcPr>
                <w:p w14:paraId="76423402">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泄漏引发</w:t>
                  </w:r>
                  <w:r>
                    <w:rPr>
                      <w:rFonts w:hint="eastAsia"/>
                      <w:color w:val="000000" w:themeColor="text1"/>
                      <w:szCs w:val="21"/>
                      <w14:textFill>
                        <w14:solidFill>
                          <w14:schemeClr w14:val="tx1"/>
                        </w14:solidFill>
                      </w14:textFill>
                    </w:rPr>
                    <w:t>污</w:t>
                  </w:r>
                  <w:r>
                    <w:rPr>
                      <w:color w:val="000000" w:themeColor="text1"/>
                      <w:szCs w:val="21"/>
                      <w14:textFill>
                        <w14:solidFill>
                          <w14:schemeClr w14:val="tx1"/>
                        </w14:solidFill>
                      </w14:textFill>
                    </w:rPr>
                    <w:t>染物排放</w:t>
                  </w:r>
                </w:p>
              </w:tc>
              <w:tc>
                <w:tcPr>
                  <w:tcW w:w="676" w:type="pct"/>
                  <w:tcBorders>
                    <w:tl2br w:val="nil"/>
                    <w:tr2bl w:val="nil"/>
                  </w:tcBorders>
                  <w:vAlign w:val="center"/>
                </w:tcPr>
                <w:p w14:paraId="349E07CF">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地表水、地下水、土壤渗透</w:t>
                  </w:r>
                </w:p>
              </w:tc>
              <w:tc>
                <w:tcPr>
                  <w:tcW w:w="789" w:type="pct"/>
                  <w:tcBorders>
                    <w:tl2br w:val="nil"/>
                    <w:tr2bl w:val="nil"/>
                  </w:tcBorders>
                  <w:vAlign w:val="center"/>
                </w:tcPr>
                <w:p w14:paraId="5C210602">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地表水、地下水</w:t>
                  </w:r>
                </w:p>
              </w:tc>
              <w:tc>
                <w:tcPr>
                  <w:tcW w:w="498" w:type="pct"/>
                  <w:vMerge w:val="restart"/>
                  <w:tcBorders>
                    <w:tl2br w:val="nil"/>
                    <w:tr2bl w:val="nil"/>
                  </w:tcBorders>
                  <w:vAlign w:val="center"/>
                </w:tcPr>
                <w:p w14:paraId="24C3422F">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重点风险源</w:t>
                  </w:r>
                </w:p>
              </w:tc>
            </w:tr>
            <w:tr w14:paraId="62C8E7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vAlign w:val="center"/>
                </w:tcPr>
                <w:p w14:paraId="08E829F8">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423" w:type="pct"/>
                  <w:vMerge w:val="continue"/>
                  <w:tcBorders>
                    <w:tl2br w:val="nil"/>
                    <w:tr2bl w:val="nil"/>
                  </w:tcBorders>
                  <w:vAlign w:val="center"/>
                </w:tcPr>
                <w:p w14:paraId="06AEDB7B">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529" w:type="pct"/>
                  <w:vMerge w:val="continue"/>
                  <w:tcBorders>
                    <w:tl2br w:val="nil"/>
                    <w:tr2bl w:val="nil"/>
                  </w:tcBorders>
                  <w:vAlign w:val="center"/>
                </w:tcPr>
                <w:p w14:paraId="0D7983E8">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c>
                <w:tcPr>
                  <w:tcW w:w="717" w:type="pct"/>
                  <w:tcBorders>
                    <w:tl2br w:val="nil"/>
                    <w:tr2bl w:val="nil"/>
                  </w:tcBorders>
                  <w:vAlign w:val="center"/>
                </w:tcPr>
                <w:p w14:paraId="5DAD4B46">
                  <w:pPr>
                    <w:pBdr>
                      <w:top w:val="none" w:color="auto" w:sz="0" w:space="1"/>
                      <w:left w:val="none" w:color="auto" w:sz="0" w:space="4"/>
                      <w:bottom w:val="none" w:color="auto" w:sz="0" w:space="1"/>
                      <w:right w:val="none" w:color="auto" w:sz="0" w:space="4"/>
                    </w:pBd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工艺废气</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氨、硫化氢</w:t>
                  </w:r>
                  <w:r>
                    <w:rPr>
                      <w:rFonts w:hint="eastAsia"/>
                      <w:color w:val="000000" w:themeColor="text1"/>
                      <w:szCs w:val="21"/>
                      <w:lang w:eastAsia="zh-CN"/>
                      <w14:textFill>
                        <w14:solidFill>
                          <w14:schemeClr w14:val="tx1"/>
                        </w14:solidFill>
                      </w14:textFill>
                    </w:rPr>
                    <w:t>）</w:t>
                  </w:r>
                </w:p>
              </w:tc>
              <w:tc>
                <w:tcPr>
                  <w:tcW w:w="943" w:type="pct"/>
                  <w:tcBorders>
                    <w:tl2br w:val="nil"/>
                    <w:tr2bl w:val="nil"/>
                  </w:tcBorders>
                  <w:vAlign w:val="center"/>
                </w:tcPr>
                <w:p w14:paraId="4469266F">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非正常运行/停用</w:t>
                  </w:r>
                </w:p>
              </w:tc>
              <w:tc>
                <w:tcPr>
                  <w:tcW w:w="676" w:type="pct"/>
                  <w:tcBorders>
                    <w:tl2br w:val="nil"/>
                    <w:tr2bl w:val="nil"/>
                  </w:tcBorders>
                  <w:vAlign w:val="center"/>
                </w:tcPr>
                <w:p w14:paraId="5DED4B4A">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w:t>
                  </w:r>
                </w:p>
              </w:tc>
              <w:tc>
                <w:tcPr>
                  <w:tcW w:w="789" w:type="pct"/>
                  <w:tcBorders>
                    <w:tl2br w:val="nil"/>
                    <w:tr2bl w:val="nil"/>
                  </w:tcBorders>
                  <w:vAlign w:val="center"/>
                </w:tcPr>
                <w:p w14:paraId="4BB5DEC4">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环境空气</w:t>
                  </w:r>
                </w:p>
              </w:tc>
              <w:tc>
                <w:tcPr>
                  <w:tcW w:w="498" w:type="pct"/>
                  <w:vMerge w:val="continue"/>
                  <w:tcBorders>
                    <w:tl2br w:val="nil"/>
                    <w:tr2bl w:val="nil"/>
                  </w:tcBorders>
                  <w:vAlign w:val="center"/>
                </w:tcPr>
                <w:p w14:paraId="78155D70">
                  <w:pPr>
                    <w:pBdr>
                      <w:top w:val="none" w:color="auto" w:sz="0" w:space="1"/>
                      <w:left w:val="none" w:color="auto" w:sz="0" w:space="4"/>
                      <w:bottom w:val="none" w:color="auto" w:sz="0" w:space="1"/>
                      <w:right w:val="none" w:color="auto" w:sz="0" w:space="4"/>
                    </w:pBdr>
                    <w:adjustRightInd w:val="0"/>
                    <w:snapToGrid w:val="0"/>
                    <w:jc w:val="center"/>
                    <w:rPr>
                      <w:color w:val="000000" w:themeColor="text1"/>
                      <w:szCs w:val="21"/>
                      <w14:textFill>
                        <w14:solidFill>
                          <w14:schemeClr w14:val="tx1"/>
                        </w14:solidFill>
                      </w14:textFill>
                    </w:rPr>
                  </w:pPr>
                </w:p>
              </w:tc>
            </w:tr>
          </w:tbl>
          <w:p w14:paraId="4A8E3528">
            <w:pPr>
              <w:spacing w:line="360" w:lineRule="auto"/>
              <w:ind w:firstLine="482" w:firstLineChars="200"/>
              <w:rPr>
                <w:b/>
                <w:bCs/>
                <w:sz w:val="24"/>
              </w:rPr>
            </w:pPr>
            <w:r>
              <w:rPr>
                <w:rFonts w:hint="eastAsia"/>
                <w:b/>
                <w:bCs/>
                <w:sz w:val="24"/>
              </w:rPr>
              <w:t>5、风险防范措施</w:t>
            </w:r>
          </w:p>
          <w:p w14:paraId="0F55401B">
            <w:pPr>
              <w:pStyle w:val="36"/>
              <w:ind w:firstLine="480"/>
              <w:rPr>
                <w:rFonts w:hint="default"/>
              </w:rPr>
            </w:pPr>
            <w:r>
              <w:t>根据对项目的调查，项目需要加强风险管理，制定相应的应急措施。</w:t>
            </w:r>
          </w:p>
          <w:p w14:paraId="7061B322">
            <w:pPr>
              <w:pStyle w:val="36"/>
              <w:ind w:firstLine="480"/>
              <w:rPr>
                <w:rFonts w:hint="default"/>
              </w:rPr>
            </w:pPr>
            <w:r>
              <w:t>（1）大气环境风险防范措施</w:t>
            </w:r>
          </w:p>
          <w:p w14:paraId="4C3DD444">
            <w:pPr>
              <w:pStyle w:val="36"/>
              <w:ind w:firstLine="480"/>
              <w:rPr>
                <w:rFonts w:hint="default"/>
              </w:rPr>
            </w:pPr>
            <w:r>
              <w:t>为有效防治项目恶臭事故排放，拟采取如下措施：</w:t>
            </w:r>
          </w:p>
          <w:p w14:paraId="4AA9BDDD">
            <w:pPr>
              <w:pStyle w:val="36"/>
              <w:ind w:firstLine="480"/>
              <w:rPr>
                <w:rFonts w:hint="default"/>
              </w:rPr>
            </w:pPr>
            <w:r>
              <w:rPr>
                <w:rFonts w:ascii="宋体" w:hAnsi="宋体" w:cs="宋体"/>
              </w:rPr>
              <w:t>①</w:t>
            </w:r>
            <w:r>
              <w:t>采用先进合理、安全可靠的工艺流程和生产设备，从根本上提高污水处理设施和贮存装置的安全性，防止和减少事故的发生。严格管理，建立完整的设备定期排查、维护工作制度，确保生产设备的完好率，切实防范项目污水的跑冒滴漏。</w:t>
            </w:r>
          </w:p>
          <w:p w14:paraId="507791D0">
            <w:pPr>
              <w:pStyle w:val="36"/>
              <w:ind w:firstLine="480"/>
              <w:rPr>
                <w:rFonts w:hint="default"/>
              </w:rPr>
            </w:pPr>
            <w:r>
              <w:rPr>
                <w:rFonts w:ascii="宋体" w:hAnsi="宋体" w:cs="宋体"/>
              </w:rPr>
              <w:t>②</w:t>
            </w:r>
            <w:r>
              <w:t>合理设计恶臭气体收集净化系统，工艺管线的设计、安装均考虑应力变化、管线的振动及蠕变、密封防泄漏等多种因素，并采取设置膨胀节及固定管架等安全措施。</w:t>
            </w:r>
          </w:p>
          <w:p w14:paraId="36612D6B">
            <w:pPr>
              <w:pStyle w:val="36"/>
              <w:ind w:firstLine="480"/>
              <w:rPr>
                <w:rFonts w:hint="default"/>
              </w:rPr>
            </w:pPr>
            <w:r>
              <w:rPr>
                <w:rFonts w:ascii="宋体" w:hAnsi="宋体" w:cs="宋体"/>
              </w:rPr>
              <w:t>③</w:t>
            </w:r>
            <w:r>
              <w:t>对集气罩、通风管道、阀门、风机等设备进行定期检查，及时维护，以确保恶臭气体得到有效收集和处理。</w:t>
            </w:r>
          </w:p>
          <w:p w14:paraId="28359E5E">
            <w:pPr>
              <w:pStyle w:val="36"/>
              <w:ind w:firstLine="480"/>
              <w:rPr>
                <w:rFonts w:hint="default"/>
              </w:rPr>
            </w:pPr>
            <w:r>
              <w:rPr>
                <w:rFonts w:ascii="宋体" w:hAnsi="宋体" w:cs="宋体"/>
              </w:rPr>
              <w:t>④</w:t>
            </w:r>
            <w:r>
              <w:t>对气体净化装置等关键设备的维护保养，确保设备的正常运转，对有关人员进行培训，持证上岗。</w:t>
            </w:r>
          </w:p>
          <w:p w14:paraId="60BDA465">
            <w:pPr>
              <w:pStyle w:val="36"/>
              <w:ind w:firstLine="480"/>
              <w:rPr>
                <w:rFonts w:hint="default"/>
              </w:rPr>
            </w:pPr>
            <w:r>
              <w:rPr>
                <w:rFonts w:ascii="宋体" w:hAnsi="宋体" w:cs="宋体"/>
              </w:rPr>
              <w:t>⑤</w:t>
            </w:r>
            <w:r>
              <w:t>建立完善的档案制度，记录事故发生原因、工况以便不断总结经验，杜绝事故重复发生。</w:t>
            </w:r>
          </w:p>
          <w:p w14:paraId="0916883B">
            <w:pPr>
              <w:pStyle w:val="36"/>
              <w:ind w:firstLine="480"/>
              <w:rPr>
                <w:rFonts w:hint="default"/>
              </w:rPr>
            </w:pPr>
            <w:r>
              <w:rPr>
                <w:rFonts w:ascii="宋体" w:hAnsi="宋体" w:cs="宋体"/>
              </w:rPr>
              <w:t>⑥</w:t>
            </w:r>
            <w:r>
              <w:t>认真搞好厂区绿化建设，在厂区四周设置宽大绿化带，同时在各构筑物的间隙种植乔、灌、草相结合的立体绿化体系，以减少臭味对环境的影响。</w:t>
            </w:r>
          </w:p>
          <w:p w14:paraId="42CD59F3">
            <w:pPr>
              <w:pStyle w:val="36"/>
              <w:ind w:firstLine="480"/>
              <w:rPr>
                <w:rFonts w:hint="default"/>
                <w:lang w:val="zh-CN"/>
              </w:rPr>
            </w:pPr>
            <w:r>
              <w:rPr>
                <w:lang w:val="zh-CN"/>
              </w:rPr>
              <w:t>（</w:t>
            </w:r>
            <w:r>
              <w:t>2</w:t>
            </w:r>
            <w:r>
              <w:rPr>
                <w:lang w:val="zh-CN"/>
              </w:rPr>
              <w:t>）</w:t>
            </w:r>
            <w:r>
              <w:t>危废间泄漏</w:t>
            </w:r>
            <w:r>
              <w:rPr>
                <w:lang w:val="zh-CN"/>
              </w:rPr>
              <w:t>风险防范措施</w:t>
            </w:r>
          </w:p>
          <w:p w14:paraId="760499A1">
            <w:pPr>
              <w:pStyle w:val="36"/>
              <w:ind w:firstLine="480"/>
              <w:rPr>
                <w:rFonts w:hint="default"/>
                <w:lang w:val="zh-CN"/>
              </w:rPr>
            </w:pPr>
            <w:r>
              <w:t>本</w:t>
            </w:r>
            <w:r>
              <w:rPr>
                <w:lang w:val="zh-CN"/>
              </w:rPr>
              <w:t>项目所产生的危险废物要严格管理，集中收集，分类处理，严格按照要求暂存，交由有危险废物处理资质的单位回收处理。</w:t>
            </w:r>
          </w:p>
          <w:p w14:paraId="172440AD">
            <w:pPr>
              <w:pStyle w:val="36"/>
              <w:ind w:firstLine="480"/>
              <w:rPr>
                <w:rFonts w:hint="default"/>
                <w:lang w:val="zh-CN"/>
              </w:rPr>
            </w:pPr>
            <w:r>
              <w:rPr>
                <w:lang w:val="zh-CN"/>
              </w:rPr>
              <w:t>①</w:t>
            </w:r>
            <w:r>
              <w:t>本</w:t>
            </w:r>
            <w:r>
              <w:rPr>
                <w:lang w:val="zh-CN"/>
              </w:rPr>
              <w:t>项目产生的危废避免露天存放，分类收集后应使用密闭包装桶盛装；</w:t>
            </w:r>
          </w:p>
          <w:p w14:paraId="6B1609CE">
            <w:pPr>
              <w:pStyle w:val="36"/>
              <w:ind w:firstLine="480"/>
              <w:rPr>
                <w:rFonts w:hint="default"/>
                <w:lang w:val="zh-CN"/>
              </w:rPr>
            </w:pPr>
            <w:r>
              <w:rPr>
                <w:lang w:val="zh-CN"/>
              </w:rPr>
              <w:t>②危废间要做好防风、防雨、防晒措施；地面和裙脚做好防腐、防渗漏措施；门口设置漫坡、围堰。</w:t>
            </w:r>
          </w:p>
          <w:p w14:paraId="51B5EE3D">
            <w:pPr>
              <w:pStyle w:val="36"/>
              <w:ind w:firstLine="480"/>
              <w:rPr>
                <w:rFonts w:hint="default"/>
              </w:rPr>
            </w:pPr>
            <w:r>
              <w:rPr>
                <w:lang w:val="zh-CN"/>
              </w:rPr>
              <w:t>（</w:t>
            </w:r>
            <w:r>
              <w:t>3</w:t>
            </w:r>
            <w:r>
              <w:rPr>
                <w:lang w:val="zh-CN"/>
              </w:rPr>
              <w:t>）</w:t>
            </w:r>
            <w:r>
              <w:t>火灾事故防范措施</w:t>
            </w:r>
          </w:p>
          <w:p w14:paraId="138990A7">
            <w:pPr>
              <w:pStyle w:val="36"/>
              <w:ind w:firstLine="480"/>
              <w:rPr>
                <w:rFonts w:hint="default"/>
              </w:rPr>
            </w:pPr>
            <w:r>
              <w:t>配备消防栓和消防灭火器材等灭火装置，预留安全疏散通道，严禁在生产区吸烟；对电路定期检查，严格控制用电负荷；严格生产管理，生产过程中产生的木屑，粉尘及时清理，不得在生产区长期存在，以杜绝火灾隐患。发生安全事故时有相应安全应急措施，企业内部制定严格的管理条例和岗位责任制，并严格监督执行，加强职工的安全生产教育，增强风险意识。</w:t>
            </w:r>
          </w:p>
          <w:p w14:paraId="156D8442">
            <w:pPr>
              <w:pStyle w:val="36"/>
              <w:ind w:firstLine="480"/>
              <w:rPr>
                <w:rFonts w:hint="default"/>
              </w:rPr>
            </w:pPr>
            <w:r>
              <w:t>（4）事故废水环境风险防范措施</w:t>
            </w:r>
          </w:p>
          <w:p w14:paraId="3F1C7D86">
            <w:pPr>
              <w:pStyle w:val="36"/>
              <w:ind w:firstLine="480"/>
              <w:rPr>
                <w:rFonts w:hint="default"/>
              </w:rPr>
            </w:pPr>
            <w:r>
              <w:t>项目均为生活污水处理厂，污水水质简单，发生进水水质异常导致处理效果生活污水处理效果差从而发生事故排放的概率较低，主要采取以下措施保证污水处理设施的运行稳定，从而杜绝事故排放。</w:t>
            </w:r>
          </w:p>
          <w:p w14:paraId="7196677D">
            <w:pPr>
              <w:pStyle w:val="167"/>
              <w:ind w:firstLine="480"/>
              <w:rPr>
                <w:kern w:val="2"/>
              </w:rPr>
            </w:pPr>
            <w:r>
              <w:rPr>
                <w:rFonts w:hint="eastAsia" w:ascii="宋体" w:hAnsi="宋体" w:cs="宋体"/>
                <w:kern w:val="2"/>
                <w:lang w:eastAsia="ja-JP"/>
              </w:rPr>
              <w:t>①</w:t>
            </w:r>
            <w:r>
              <w:rPr>
                <w:kern w:val="2"/>
              </w:rPr>
              <w:t>完善污水管网建设，保证按规划要求收集污水量，形成正常的污水处理量。</w:t>
            </w:r>
          </w:p>
          <w:p w14:paraId="78C32AB3">
            <w:pPr>
              <w:pStyle w:val="167"/>
              <w:ind w:firstLine="480"/>
              <w:rPr>
                <w:kern w:val="2"/>
              </w:rPr>
            </w:pPr>
            <w:r>
              <w:rPr>
                <w:rFonts w:hint="eastAsia" w:ascii="宋体" w:hAnsi="宋体" w:cs="宋体"/>
                <w:kern w:val="2"/>
                <w:lang w:eastAsia="ja-JP"/>
              </w:rPr>
              <w:t>②</w:t>
            </w:r>
            <w:r>
              <w:rPr>
                <w:kern w:val="2"/>
              </w:rPr>
              <w:t>污水厂的水泵、污泥泵等设备</w:t>
            </w:r>
            <w:r>
              <w:rPr>
                <w:rFonts w:hint="eastAsia"/>
                <w:kern w:val="2"/>
              </w:rPr>
              <w:t>均</w:t>
            </w:r>
            <w:r>
              <w:rPr>
                <w:kern w:val="2"/>
              </w:rPr>
              <w:t>采用</w:t>
            </w:r>
            <w:r>
              <w:rPr>
                <w:rFonts w:hint="eastAsia"/>
                <w:kern w:val="2"/>
              </w:rPr>
              <w:t>一备一用</w:t>
            </w:r>
            <w:r>
              <w:rPr>
                <w:kern w:val="2"/>
              </w:rPr>
              <w:t>的配置，</w:t>
            </w:r>
            <w:r>
              <w:rPr>
                <w:rFonts w:hint="eastAsia"/>
                <w:kern w:val="2"/>
              </w:rPr>
              <w:t>且</w:t>
            </w:r>
            <w:r>
              <w:rPr>
                <w:kern w:val="2"/>
              </w:rPr>
              <w:t>用电采用双回路</w:t>
            </w:r>
            <w:r>
              <w:rPr>
                <w:rFonts w:hint="eastAsia"/>
                <w:kern w:val="2"/>
              </w:rPr>
              <w:t>供电</w:t>
            </w:r>
            <w:r>
              <w:rPr>
                <w:kern w:val="2"/>
              </w:rPr>
              <w:t>，保证运行设备有足够的备用率。</w:t>
            </w:r>
          </w:p>
          <w:p w14:paraId="50493363">
            <w:pPr>
              <w:pStyle w:val="167"/>
              <w:ind w:firstLine="480"/>
              <w:rPr>
                <w:kern w:val="2"/>
              </w:rPr>
            </w:pPr>
            <w:r>
              <w:rPr>
                <w:rFonts w:hint="eastAsia" w:ascii="宋体" w:hAnsi="宋体" w:cs="宋体"/>
                <w:kern w:val="2"/>
                <w:lang w:eastAsia="ja-JP"/>
              </w:rPr>
              <w:t>③</w:t>
            </w:r>
            <w:r>
              <w:rPr>
                <w:kern w:val="2"/>
              </w:rPr>
              <w:t>加强管理和设备维护工作，保持设备的完好率和处理的高效率。备用设备或替换下来的设备要及时检修，并定期检查，使其在需要时能及时使用，特别是确保在线检查仪正常使用，防止污水未处理直接流入河道。</w:t>
            </w:r>
          </w:p>
          <w:p w14:paraId="2517D81C">
            <w:pPr>
              <w:pStyle w:val="167"/>
              <w:ind w:firstLine="480"/>
              <w:rPr>
                <w:kern w:val="2"/>
              </w:rPr>
            </w:pPr>
            <w:r>
              <w:rPr>
                <w:rFonts w:hint="eastAsia" w:ascii="宋体" w:hAnsi="宋体" w:cs="宋体"/>
                <w:kern w:val="2"/>
                <w:lang w:eastAsia="ja-JP"/>
              </w:rPr>
              <w:t>④</w:t>
            </w:r>
            <w:r>
              <w:rPr>
                <w:kern w:val="2"/>
              </w:rPr>
              <w:t>污水处理厂应针对可能发</w:t>
            </w:r>
            <w:r>
              <w:rPr>
                <w:rFonts w:hint="eastAsia"/>
                <w:kern w:val="2"/>
              </w:rPr>
              <w:t>生的</w:t>
            </w:r>
            <w:r>
              <w:rPr>
                <w:kern w:val="2"/>
              </w:rPr>
              <w:t>事故，建立合适的事故处理程序、机制和措施。一旦发生事故，则采取相应的措施，将事故对环境的影响控制在最小或较小范围。</w:t>
            </w:r>
          </w:p>
          <w:p w14:paraId="22FCEB8C">
            <w:pPr>
              <w:pStyle w:val="167"/>
              <w:ind w:firstLine="480"/>
              <w:rPr>
                <w:kern w:val="2"/>
              </w:rPr>
            </w:pPr>
            <w:r>
              <w:rPr>
                <w:rFonts w:hint="eastAsia" w:ascii="宋体" w:hAnsi="宋体" w:cs="宋体"/>
                <w:kern w:val="2"/>
                <w:lang w:eastAsia="ja-JP"/>
              </w:rPr>
              <w:t>⑤</w:t>
            </w:r>
            <w:r>
              <w:rPr>
                <w:kern w:val="2"/>
              </w:rPr>
              <w:t>为避免停电造成的不利影响，污水处理厂在设计中应采用双电路供电</w:t>
            </w:r>
            <w:r>
              <w:rPr>
                <w:rFonts w:hint="eastAsia"/>
                <w:kern w:val="2"/>
              </w:rPr>
              <w:t>，</w:t>
            </w:r>
            <w:r>
              <w:rPr>
                <w:kern w:val="2"/>
              </w:rPr>
              <w:t>以保证污水处理设施的连续运行。</w:t>
            </w:r>
          </w:p>
          <w:p w14:paraId="527D4CBD">
            <w:pPr>
              <w:pStyle w:val="36"/>
              <w:ind w:firstLine="480"/>
              <w:rPr>
                <w:rStyle w:val="35"/>
                <w:rFonts w:hint="default"/>
                <w:kern w:val="0"/>
                <w:szCs w:val="20"/>
              </w:rPr>
            </w:pPr>
            <w:r>
              <w:rPr>
                <w:rFonts w:ascii="宋体" w:hAnsi="宋体" w:cs="宋体"/>
                <w:lang w:eastAsia="ja-JP"/>
              </w:rPr>
              <w:t>⑥</w:t>
            </w:r>
            <w:r>
              <w:t>设置进水、出水水质自动监测装置及报警装置，设置进厂、出水污水截断装置，当事故发生后，立即截断污水来源和杜绝事故排放，及时发现不良水质进入污水处理厂。对进水口和出水口的废水量、pH、</w:t>
            </w:r>
            <w:r>
              <w:rPr>
                <w:rFonts w:hint="default"/>
              </w:rPr>
              <w:t>COD</w:t>
            </w:r>
            <w:r>
              <w:rPr>
                <w:rFonts w:hint="default"/>
                <w:vertAlign w:val="subscript"/>
              </w:rPr>
              <w:t>Cr</w:t>
            </w:r>
            <w:r>
              <w:t>、氨氮等主要污染因子进行在线监测，同时本环评建议污水处理厂在线监测系统与生态环境主管部门联网，一旦发现废水可生化性较低或总排口废水不达标立即报警，同时截断污水来源和杜绝事故排放。</w:t>
            </w:r>
          </w:p>
          <w:p w14:paraId="2B85E4F4">
            <w:pPr>
              <w:pStyle w:val="36"/>
              <w:ind w:firstLine="0"/>
              <w:rPr>
                <w:rFonts w:hint="eastAsia"/>
                <w:lang w:val="en-US"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有限空间作业中毒和窒息风险防范措施</w:t>
            </w:r>
          </w:p>
          <w:p w14:paraId="58FFEABF">
            <w:pPr>
              <w:pStyle w:val="36"/>
              <w:rPr>
                <w:rFonts w:hint="default"/>
                <w:lang w:val="en-US" w:eastAsia="zh-CN"/>
              </w:rPr>
            </w:pPr>
            <w:r>
              <w:t>有限空间作业要严格实行作业审批制度，严格按照“先通风、再检测、后作业”的要求开展作业；作业人员必须正确佩戴和使用劳动防护用品；在作业过程中一旦发生事故，现场有关人员应当立即报警，禁止盲目施救；救援人员必须采取科学的防护措施，在确保自身安全的情况下科学救援，坚决杜绝伤亡扩大。</w:t>
            </w:r>
          </w:p>
          <w:p w14:paraId="76131F90">
            <w:pPr>
              <w:spacing w:line="360" w:lineRule="auto"/>
              <w:ind w:firstLine="482" w:firstLineChars="200"/>
              <w:rPr>
                <w:b/>
                <w:bCs/>
                <w:sz w:val="24"/>
              </w:rPr>
            </w:pPr>
            <w:r>
              <w:rPr>
                <w:rFonts w:hint="eastAsia"/>
                <w:b/>
                <w:bCs/>
                <w:sz w:val="24"/>
              </w:rPr>
              <w:t>6、环境风险评价结论</w:t>
            </w:r>
          </w:p>
          <w:p w14:paraId="425305AC">
            <w:pPr>
              <w:pStyle w:val="36"/>
              <w:ind w:firstLine="480"/>
              <w:rPr>
                <w:rFonts w:hint="default"/>
              </w:rPr>
            </w:pPr>
            <w:r>
              <w:rPr>
                <w:lang w:val="zh-CN"/>
              </w:rPr>
              <w:t>项目运营期主要涉及</w:t>
            </w:r>
            <w:r>
              <w:t>环境风险物质为次氯酸钠、废润滑油</w:t>
            </w:r>
            <w:r>
              <w:rPr>
                <w:rFonts w:hint="eastAsia"/>
                <w:lang w:eastAsia="zh-CN"/>
              </w:rPr>
              <w:t>、</w:t>
            </w:r>
            <w:r>
              <w:rPr>
                <w:rFonts w:hint="eastAsia"/>
                <w:lang w:val="en-US" w:eastAsia="zh-CN"/>
              </w:rPr>
              <w:t>氨、硫化氢</w:t>
            </w:r>
            <w:r>
              <w:t>，</w:t>
            </w:r>
            <w:r>
              <w:rPr>
                <w:rFonts w:hint="eastAsia"/>
                <w:lang w:val="en-US" w:eastAsia="zh-CN"/>
              </w:rPr>
              <w:t>但是各风险物质</w:t>
            </w:r>
            <w:r>
              <w:t>最大存在量较少，</w:t>
            </w:r>
            <w:r>
              <w:rPr>
                <w:lang w:val="zh-CN"/>
              </w:rPr>
              <w:t>环境风险程度较低，未构成重大风险源。</w:t>
            </w:r>
            <w:r>
              <w:t>同时企业应注意日常管理落实</w:t>
            </w:r>
            <w:r>
              <w:rPr>
                <w:rFonts w:hint="default"/>
              </w:rPr>
              <w:t>相应风险事故防范措施，</w:t>
            </w:r>
            <w:r>
              <w:t>建议企业</w:t>
            </w:r>
            <w:r>
              <w:rPr>
                <w:rFonts w:hint="default"/>
              </w:rPr>
              <w:t>制定相应的环境风险应急预案，项目涉及的环境</w:t>
            </w:r>
            <w:r>
              <w:t>风险</w:t>
            </w:r>
            <w:r>
              <w:rPr>
                <w:rFonts w:hint="default"/>
              </w:rPr>
              <w:t>影响是可以降到最低水平的，可有效减少或者避免风险事故的发生。</w:t>
            </w:r>
          </w:p>
          <w:p w14:paraId="54642FEB">
            <w:pPr>
              <w:pStyle w:val="36"/>
              <w:ind w:firstLine="480"/>
              <w:rPr>
                <w:rFonts w:hint="default"/>
              </w:rPr>
            </w:pPr>
            <w:r>
              <w:rPr>
                <w:rFonts w:hint="default"/>
              </w:rPr>
              <w:t>综上所述，项目环境风险影响范围较小，影响程度轻微，在采取相应风险管理防范措施的情况下，项目环境风险影响可控。</w:t>
            </w:r>
          </w:p>
          <w:p w14:paraId="0B01EF46">
            <w:pPr>
              <w:pStyle w:val="36"/>
              <w:ind w:firstLine="482"/>
              <w:rPr>
                <w:rFonts w:hint="default"/>
                <w:b/>
                <w:bCs/>
              </w:rPr>
            </w:pPr>
            <w:r>
              <w:rPr>
                <w:b/>
                <w:bCs/>
              </w:rPr>
              <w:t>八、电磁辐射</w:t>
            </w:r>
          </w:p>
          <w:p w14:paraId="31F2A3C5">
            <w:pPr>
              <w:pStyle w:val="36"/>
              <w:ind w:firstLine="480"/>
              <w:rPr>
                <w:rFonts w:hint="default"/>
              </w:rPr>
            </w:pPr>
            <w:r>
              <w:t>本项目不涉及电磁辐射，因此不开展电磁辐射影响评价。</w:t>
            </w:r>
          </w:p>
          <w:p w14:paraId="5139D019">
            <w:pPr>
              <w:pStyle w:val="53"/>
              <w:numPr>
                <w:ilvl w:val="0"/>
                <w:numId w:val="0"/>
              </w:numPr>
              <w:jc w:val="both"/>
            </w:pPr>
          </w:p>
          <w:p w14:paraId="33198ED8">
            <w:pPr>
              <w:pStyle w:val="53"/>
              <w:numPr>
                <w:ilvl w:val="0"/>
                <w:numId w:val="0"/>
              </w:numPr>
              <w:jc w:val="both"/>
            </w:pPr>
          </w:p>
          <w:p w14:paraId="7722524D">
            <w:pPr>
              <w:pStyle w:val="53"/>
              <w:numPr>
                <w:ilvl w:val="0"/>
                <w:numId w:val="0"/>
              </w:numPr>
              <w:jc w:val="both"/>
            </w:pPr>
          </w:p>
          <w:p w14:paraId="5F07E2B0">
            <w:pPr>
              <w:pStyle w:val="53"/>
              <w:numPr>
                <w:ilvl w:val="0"/>
                <w:numId w:val="0"/>
              </w:numPr>
              <w:jc w:val="both"/>
            </w:pPr>
          </w:p>
        </w:tc>
      </w:tr>
    </w:tbl>
    <w:p w14:paraId="1EC854AD">
      <w:pPr>
        <w:pStyle w:val="24"/>
        <w:jc w:val="both"/>
        <w:rPr>
          <w:rFonts w:ascii="Times New Roman" w:hAnsi="Times New Roman"/>
          <w:snapToGrid w:val="0"/>
          <w:sz w:val="30"/>
          <w:szCs w:val="30"/>
        </w:rPr>
        <w:sectPr>
          <w:pgSz w:w="11906" w:h="16838"/>
          <w:pgMar w:top="1134" w:right="1134" w:bottom="1134" w:left="1417" w:header="851" w:footer="850" w:gutter="0"/>
          <w:pgBorders>
            <w:top w:val="none" w:sz="0" w:space="0"/>
            <w:left w:val="none" w:sz="0" w:space="0"/>
            <w:bottom w:val="none" w:sz="0" w:space="0"/>
            <w:right w:val="none" w:sz="0" w:space="0"/>
          </w:pgBorders>
          <w:pgNumType w:fmt="numberInDash"/>
          <w:cols w:space="720" w:num="1"/>
          <w:docGrid w:linePitch="312" w:charSpace="0"/>
        </w:sectPr>
      </w:pPr>
    </w:p>
    <w:p w14:paraId="29B0183C">
      <w:pPr>
        <w:pStyle w:val="50"/>
        <w:outlineLvl w:val="0"/>
      </w:pPr>
      <w:bookmarkStart w:id="60" w:name="_Hlk54167917"/>
      <w:bookmarkStart w:id="61" w:name="_Toc16727"/>
      <w:r>
        <w:t>环境保护措施监督检查清单</w:t>
      </w:r>
      <w:bookmarkEnd w:id="39"/>
      <w:bookmarkEnd w:id="40"/>
      <w:bookmarkEnd w:id="41"/>
      <w:bookmarkEnd w:id="42"/>
      <w:bookmarkEnd w:id="43"/>
      <w:bookmarkEnd w:id="60"/>
      <w:bookmarkEnd w:id="61"/>
    </w:p>
    <w:tbl>
      <w:tblPr>
        <w:tblStyle w:val="28"/>
        <w:tblW w:w="498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631"/>
        <w:gridCol w:w="1397"/>
        <w:gridCol w:w="2408"/>
        <w:gridCol w:w="2963"/>
      </w:tblGrid>
      <w:tr w14:paraId="08BFC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7" w:type="pct"/>
            <w:tcBorders>
              <w:tl2br w:val="single" w:color="auto" w:sz="4" w:space="0"/>
            </w:tcBorders>
          </w:tcPr>
          <w:p w14:paraId="3D9D2E31">
            <w:pPr>
              <w:adjustRightInd w:val="0"/>
              <w:snapToGrid w:val="0"/>
              <w:ind w:firstLine="422" w:firstLineChars="200"/>
              <w:rPr>
                <w:b/>
                <w:bCs/>
                <w:szCs w:val="21"/>
              </w:rPr>
            </w:pPr>
            <w:r>
              <w:rPr>
                <w:b/>
                <w:bCs/>
                <w:szCs w:val="21"/>
              </w:rPr>
              <w:t>内容</w:t>
            </w:r>
          </w:p>
          <w:p w14:paraId="7AA7EA5E">
            <w:pPr>
              <w:adjustRightInd w:val="0"/>
              <w:snapToGrid w:val="0"/>
              <w:rPr>
                <w:b/>
                <w:bCs/>
                <w:szCs w:val="21"/>
              </w:rPr>
            </w:pPr>
            <w:r>
              <w:rPr>
                <w:b/>
                <w:bCs/>
                <w:szCs w:val="21"/>
              </w:rPr>
              <w:t>要素</w:t>
            </w:r>
          </w:p>
        </w:tc>
        <w:tc>
          <w:tcPr>
            <w:tcW w:w="855" w:type="pct"/>
            <w:vAlign w:val="center"/>
          </w:tcPr>
          <w:p w14:paraId="439F8ECA">
            <w:pPr>
              <w:adjustRightInd w:val="0"/>
              <w:snapToGrid w:val="0"/>
              <w:jc w:val="center"/>
              <w:rPr>
                <w:b/>
                <w:bCs/>
                <w:szCs w:val="21"/>
              </w:rPr>
            </w:pPr>
            <w:r>
              <w:rPr>
                <w:b/>
                <w:bCs/>
                <w:szCs w:val="21"/>
              </w:rPr>
              <w:t>排放口</w:t>
            </w:r>
            <w:r>
              <w:rPr>
                <w:rFonts w:hint="eastAsia"/>
                <w:b/>
                <w:bCs/>
                <w:szCs w:val="21"/>
              </w:rPr>
              <w:t>（</w:t>
            </w:r>
            <w:r>
              <w:rPr>
                <w:b/>
                <w:bCs/>
                <w:szCs w:val="21"/>
              </w:rPr>
              <w:t>编号、</w:t>
            </w:r>
          </w:p>
          <w:p w14:paraId="79F1313A">
            <w:pPr>
              <w:adjustRightInd w:val="0"/>
              <w:snapToGrid w:val="0"/>
              <w:jc w:val="center"/>
              <w:rPr>
                <w:b/>
                <w:bCs/>
                <w:szCs w:val="21"/>
              </w:rPr>
            </w:pPr>
            <w:r>
              <w:rPr>
                <w:b/>
                <w:bCs/>
                <w:szCs w:val="21"/>
              </w:rPr>
              <w:t>名称</w:t>
            </w:r>
            <w:r>
              <w:rPr>
                <w:rFonts w:hint="eastAsia"/>
                <w:b/>
                <w:bCs/>
                <w:szCs w:val="21"/>
              </w:rPr>
              <w:t>）</w:t>
            </w:r>
            <w:r>
              <w:rPr>
                <w:b/>
                <w:bCs/>
                <w:szCs w:val="21"/>
              </w:rPr>
              <w:t>/污染源</w:t>
            </w:r>
          </w:p>
        </w:tc>
        <w:tc>
          <w:tcPr>
            <w:tcW w:w="732" w:type="pct"/>
            <w:vAlign w:val="center"/>
          </w:tcPr>
          <w:p w14:paraId="203E274B">
            <w:pPr>
              <w:adjustRightInd w:val="0"/>
              <w:snapToGrid w:val="0"/>
              <w:jc w:val="center"/>
              <w:rPr>
                <w:b/>
                <w:bCs/>
                <w:szCs w:val="21"/>
              </w:rPr>
            </w:pPr>
            <w:r>
              <w:rPr>
                <w:b/>
                <w:bCs/>
                <w:szCs w:val="21"/>
              </w:rPr>
              <w:t>污染物项目</w:t>
            </w:r>
          </w:p>
        </w:tc>
        <w:tc>
          <w:tcPr>
            <w:tcW w:w="1262" w:type="pct"/>
            <w:vAlign w:val="center"/>
          </w:tcPr>
          <w:p w14:paraId="1FC1E39C">
            <w:pPr>
              <w:adjustRightInd w:val="0"/>
              <w:snapToGrid w:val="0"/>
              <w:jc w:val="center"/>
              <w:rPr>
                <w:b/>
                <w:bCs/>
                <w:szCs w:val="21"/>
              </w:rPr>
            </w:pPr>
            <w:r>
              <w:rPr>
                <w:b/>
                <w:bCs/>
                <w:szCs w:val="21"/>
              </w:rPr>
              <w:t>环境保护措施</w:t>
            </w:r>
          </w:p>
        </w:tc>
        <w:tc>
          <w:tcPr>
            <w:tcW w:w="1552" w:type="pct"/>
            <w:vAlign w:val="center"/>
          </w:tcPr>
          <w:p w14:paraId="227725B5">
            <w:pPr>
              <w:adjustRightInd w:val="0"/>
              <w:snapToGrid w:val="0"/>
              <w:jc w:val="center"/>
              <w:rPr>
                <w:b/>
                <w:bCs/>
                <w:szCs w:val="21"/>
              </w:rPr>
            </w:pPr>
            <w:r>
              <w:rPr>
                <w:b/>
                <w:bCs/>
                <w:szCs w:val="21"/>
              </w:rPr>
              <w:t>执行标准</w:t>
            </w:r>
          </w:p>
        </w:tc>
      </w:tr>
      <w:tr w14:paraId="4A4CA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97" w:type="pct"/>
            <w:vMerge w:val="restart"/>
            <w:vAlign w:val="center"/>
          </w:tcPr>
          <w:p w14:paraId="54DF976C">
            <w:pPr>
              <w:adjustRightInd w:val="0"/>
              <w:snapToGrid w:val="0"/>
              <w:jc w:val="center"/>
              <w:rPr>
                <w:szCs w:val="21"/>
              </w:rPr>
            </w:pPr>
            <w:r>
              <w:rPr>
                <w:rFonts w:hint="eastAsia"/>
                <w:szCs w:val="21"/>
              </w:rPr>
              <w:t>大气环境</w:t>
            </w:r>
          </w:p>
        </w:tc>
        <w:tc>
          <w:tcPr>
            <w:tcW w:w="855" w:type="pct"/>
            <w:vAlign w:val="center"/>
          </w:tcPr>
          <w:p w14:paraId="47682B78">
            <w:pPr>
              <w:spacing w:line="240" w:lineRule="atLeast"/>
              <w:jc w:val="center"/>
              <w:rPr>
                <w:szCs w:val="21"/>
              </w:rPr>
            </w:pPr>
            <w:r>
              <w:rPr>
                <w:szCs w:val="21"/>
              </w:rPr>
              <w:t>DA00</w:t>
            </w:r>
            <w:r>
              <w:rPr>
                <w:rFonts w:hint="eastAsia"/>
                <w:szCs w:val="21"/>
              </w:rPr>
              <w:t>1</w:t>
            </w:r>
          </w:p>
          <w:p w14:paraId="3F0B6C43">
            <w:pPr>
              <w:spacing w:line="240" w:lineRule="atLeast"/>
              <w:jc w:val="center"/>
              <w:rPr>
                <w:szCs w:val="21"/>
              </w:rPr>
            </w:pPr>
            <w:r>
              <w:rPr>
                <w:rFonts w:hint="eastAsia"/>
                <w:szCs w:val="21"/>
                <w:lang w:val="en-US" w:eastAsia="zh-CN"/>
              </w:rPr>
              <w:t>污水处理</w:t>
            </w:r>
            <w:r>
              <w:rPr>
                <w:szCs w:val="21"/>
              </w:rPr>
              <w:t>废气</w:t>
            </w:r>
            <w:r>
              <w:rPr>
                <w:rFonts w:hint="eastAsia"/>
                <w:szCs w:val="21"/>
              </w:rPr>
              <w:t>排放口</w:t>
            </w:r>
          </w:p>
        </w:tc>
        <w:tc>
          <w:tcPr>
            <w:tcW w:w="732" w:type="pct"/>
            <w:vAlign w:val="center"/>
          </w:tcPr>
          <w:p w14:paraId="0A4AD5A4">
            <w:pPr>
              <w:adjustRightInd w:val="0"/>
              <w:snapToGrid w:val="0"/>
              <w:jc w:val="center"/>
              <w:rPr>
                <w:szCs w:val="21"/>
              </w:rPr>
            </w:pPr>
            <w:r>
              <w:rPr>
                <w:szCs w:val="21"/>
              </w:rPr>
              <w:t>NH</w:t>
            </w:r>
            <w:r>
              <w:rPr>
                <w:szCs w:val="21"/>
                <w:vertAlign w:val="subscript"/>
              </w:rPr>
              <w:t>3</w:t>
            </w:r>
            <w:r>
              <w:rPr>
                <w:szCs w:val="21"/>
              </w:rPr>
              <w:t>、H</w:t>
            </w:r>
            <w:r>
              <w:rPr>
                <w:szCs w:val="21"/>
                <w:vertAlign w:val="subscript"/>
              </w:rPr>
              <w:t>2</w:t>
            </w:r>
            <w:r>
              <w:rPr>
                <w:szCs w:val="21"/>
              </w:rPr>
              <w:t>S</w:t>
            </w:r>
            <w:r>
              <w:rPr>
                <w:rFonts w:hint="eastAsia"/>
                <w:szCs w:val="21"/>
              </w:rPr>
              <w:t>、臭气浓度</w:t>
            </w:r>
          </w:p>
        </w:tc>
        <w:tc>
          <w:tcPr>
            <w:tcW w:w="1262" w:type="pct"/>
            <w:vAlign w:val="center"/>
          </w:tcPr>
          <w:p w14:paraId="252E6DA5">
            <w:pPr>
              <w:pStyle w:val="38"/>
            </w:pPr>
            <w:r>
              <w:rPr>
                <w:rFonts w:hint="eastAsia"/>
                <w:lang w:eastAsia="zh-CN"/>
              </w:rPr>
              <w:t>UV光氧光解催化</w:t>
            </w:r>
            <w:r>
              <w:t>除臭装置</w:t>
            </w:r>
            <w:r>
              <w:rPr>
                <w:rFonts w:hint="eastAsia"/>
              </w:rPr>
              <w:t>+</w:t>
            </w:r>
            <w:r>
              <w:t>15m高排气筒</w:t>
            </w:r>
          </w:p>
        </w:tc>
        <w:tc>
          <w:tcPr>
            <w:tcW w:w="1552" w:type="pct"/>
            <w:vAlign w:val="center"/>
          </w:tcPr>
          <w:p w14:paraId="0D9F5E45">
            <w:pPr>
              <w:pStyle w:val="38"/>
            </w:pPr>
            <w:r>
              <w:t>《恶臭污染物排放标准》（GB14544-93）</w:t>
            </w:r>
          </w:p>
        </w:tc>
      </w:tr>
      <w:tr w14:paraId="4D566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97" w:type="pct"/>
            <w:vMerge w:val="continue"/>
            <w:vAlign w:val="center"/>
          </w:tcPr>
          <w:p w14:paraId="2CB4A086">
            <w:pPr>
              <w:adjustRightInd w:val="0"/>
              <w:snapToGrid w:val="0"/>
              <w:jc w:val="center"/>
              <w:rPr>
                <w:szCs w:val="21"/>
              </w:rPr>
            </w:pPr>
          </w:p>
        </w:tc>
        <w:tc>
          <w:tcPr>
            <w:tcW w:w="855" w:type="pct"/>
            <w:vAlign w:val="center"/>
          </w:tcPr>
          <w:p w14:paraId="7949DB33">
            <w:pPr>
              <w:adjustRightInd w:val="0"/>
              <w:snapToGrid w:val="0"/>
              <w:jc w:val="center"/>
              <w:rPr>
                <w:szCs w:val="21"/>
              </w:rPr>
            </w:pPr>
            <w:r>
              <w:rPr>
                <w:rFonts w:hint="eastAsia"/>
                <w:szCs w:val="21"/>
                <w:lang w:val="en-US" w:eastAsia="zh-CN"/>
              </w:rPr>
              <w:t>项目</w:t>
            </w:r>
            <w:r>
              <w:rPr>
                <w:rFonts w:hint="eastAsia"/>
                <w:szCs w:val="21"/>
              </w:rPr>
              <w:t>厂界</w:t>
            </w:r>
          </w:p>
        </w:tc>
        <w:tc>
          <w:tcPr>
            <w:tcW w:w="732" w:type="pct"/>
            <w:vAlign w:val="center"/>
          </w:tcPr>
          <w:p w14:paraId="4915A058">
            <w:pPr>
              <w:adjustRightInd w:val="0"/>
              <w:snapToGrid w:val="0"/>
              <w:jc w:val="center"/>
              <w:rPr>
                <w:color w:val="000000"/>
                <w:kern w:val="21"/>
                <w:szCs w:val="21"/>
              </w:rPr>
            </w:pPr>
            <w:r>
              <w:rPr>
                <w:szCs w:val="21"/>
              </w:rPr>
              <w:t>NH</w:t>
            </w:r>
            <w:r>
              <w:rPr>
                <w:szCs w:val="21"/>
                <w:vertAlign w:val="subscript"/>
              </w:rPr>
              <w:t>3</w:t>
            </w:r>
            <w:r>
              <w:rPr>
                <w:szCs w:val="21"/>
              </w:rPr>
              <w:t>、H</w:t>
            </w:r>
            <w:r>
              <w:rPr>
                <w:szCs w:val="21"/>
                <w:vertAlign w:val="subscript"/>
              </w:rPr>
              <w:t>2</w:t>
            </w:r>
            <w:r>
              <w:rPr>
                <w:szCs w:val="21"/>
              </w:rPr>
              <w:t>S</w:t>
            </w:r>
            <w:r>
              <w:rPr>
                <w:rFonts w:hint="eastAsia"/>
                <w:szCs w:val="21"/>
              </w:rPr>
              <w:t>、臭气浓度、甲烷</w:t>
            </w:r>
          </w:p>
        </w:tc>
        <w:tc>
          <w:tcPr>
            <w:tcW w:w="1262" w:type="pct"/>
            <w:vAlign w:val="center"/>
          </w:tcPr>
          <w:p w14:paraId="154CDD02">
            <w:pPr>
              <w:pStyle w:val="38"/>
            </w:pPr>
            <w:r>
              <w:t>非密闭设备设施加强通风，厂界四周建设绿化隔离带</w:t>
            </w:r>
          </w:p>
        </w:tc>
        <w:tc>
          <w:tcPr>
            <w:tcW w:w="1552" w:type="pct"/>
            <w:vAlign w:val="center"/>
          </w:tcPr>
          <w:p w14:paraId="7239CF1D">
            <w:pPr>
              <w:pStyle w:val="38"/>
            </w:pPr>
            <w:r>
              <w:t>《城镇污水处理厂污染物排放标准》（GB18918-2002）</w:t>
            </w:r>
          </w:p>
        </w:tc>
      </w:tr>
      <w:tr w14:paraId="14CD1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97" w:type="pct"/>
            <w:vAlign w:val="center"/>
          </w:tcPr>
          <w:p w14:paraId="55BB2422">
            <w:pPr>
              <w:adjustRightInd w:val="0"/>
              <w:snapToGrid w:val="0"/>
              <w:jc w:val="center"/>
              <w:rPr>
                <w:szCs w:val="21"/>
              </w:rPr>
            </w:pPr>
            <w:r>
              <w:rPr>
                <w:szCs w:val="21"/>
              </w:rPr>
              <w:t>地表水环境</w:t>
            </w:r>
          </w:p>
        </w:tc>
        <w:tc>
          <w:tcPr>
            <w:tcW w:w="855" w:type="pct"/>
            <w:vAlign w:val="center"/>
          </w:tcPr>
          <w:p w14:paraId="01BADADB">
            <w:pPr>
              <w:spacing w:line="240" w:lineRule="atLeast"/>
              <w:jc w:val="center"/>
              <w:rPr>
                <w:szCs w:val="21"/>
              </w:rPr>
            </w:pPr>
            <w:r>
              <w:rPr>
                <w:szCs w:val="21"/>
              </w:rPr>
              <w:t>D</w:t>
            </w:r>
            <w:r>
              <w:rPr>
                <w:rFonts w:hint="eastAsia"/>
                <w:szCs w:val="21"/>
              </w:rPr>
              <w:t>W</w:t>
            </w:r>
            <w:r>
              <w:rPr>
                <w:szCs w:val="21"/>
              </w:rPr>
              <w:t>00</w:t>
            </w:r>
            <w:r>
              <w:rPr>
                <w:rFonts w:hint="eastAsia"/>
                <w:szCs w:val="21"/>
              </w:rPr>
              <w:t>1</w:t>
            </w:r>
          </w:p>
          <w:p w14:paraId="7A79730D">
            <w:pPr>
              <w:spacing w:line="240" w:lineRule="atLeast"/>
              <w:jc w:val="center"/>
              <w:rPr>
                <w:highlight w:val="yellow"/>
              </w:rPr>
            </w:pPr>
            <w:r>
              <w:rPr>
                <w:rFonts w:hint="eastAsia"/>
                <w:szCs w:val="21"/>
                <w:lang w:val="en-US" w:eastAsia="zh-CN"/>
              </w:rPr>
              <w:t>项目</w:t>
            </w:r>
            <w:r>
              <w:rPr>
                <w:rFonts w:hint="eastAsia"/>
                <w:szCs w:val="21"/>
              </w:rPr>
              <w:t>尾水排放口</w:t>
            </w:r>
          </w:p>
        </w:tc>
        <w:tc>
          <w:tcPr>
            <w:tcW w:w="732" w:type="pct"/>
            <w:vAlign w:val="center"/>
          </w:tcPr>
          <w:p w14:paraId="7E6103CB">
            <w:pPr>
              <w:adjustRightInd w:val="0"/>
              <w:snapToGrid w:val="0"/>
              <w:jc w:val="center"/>
              <w:rPr>
                <w:rFonts w:hint="default" w:eastAsia="宋体"/>
                <w:szCs w:val="21"/>
                <w:lang w:val="en-US" w:eastAsia="zh-CN"/>
              </w:rPr>
            </w:pPr>
            <w:r>
              <w:rPr>
                <w:color w:val="000000" w:themeColor="text1"/>
                <w:szCs w:val="21"/>
                <w14:textFill>
                  <w14:solidFill>
                    <w14:schemeClr w14:val="tx1"/>
                  </w14:solidFill>
                </w14:textFill>
              </w:rPr>
              <w:t>pH、</w:t>
            </w:r>
            <w:r>
              <w:rPr>
                <w:rFonts w:hint="default"/>
              </w:rPr>
              <w:t>COD</w:t>
            </w:r>
            <w:r>
              <w:rPr>
                <w:rFonts w:hint="default"/>
                <w:vertAlign w:val="subscript"/>
              </w:rPr>
              <w:t>Cr</w:t>
            </w:r>
            <w:r>
              <w:rPr>
                <w:color w:val="000000" w:themeColor="text1"/>
                <w:szCs w:val="21"/>
                <w:vertAlign w:val="subscript"/>
                <w14:textFill>
                  <w14:solidFill>
                    <w14:schemeClr w14:val="tx1"/>
                  </w14:solidFill>
                </w14:textFill>
              </w:rPr>
              <w:t>、</w:t>
            </w:r>
            <w:r>
              <w:rPr>
                <w:rFonts w:hint="default"/>
              </w:rPr>
              <w:t>BOD</w:t>
            </w:r>
            <w:r>
              <w:rPr>
                <w:rFonts w:hint="default"/>
                <w:vertAlign w:val="subscript"/>
              </w:rPr>
              <w:t>5</w:t>
            </w:r>
            <w:r>
              <w:rPr>
                <w:color w:val="000000" w:themeColor="text1"/>
                <w:szCs w:val="21"/>
                <w14:textFill>
                  <w14:solidFill>
                    <w14:schemeClr w14:val="tx1"/>
                  </w14:solidFill>
                </w14:textFill>
              </w:rPr>
              <w:t>、SS、</w:t>
            </w:r>
            <w:r>
              <w:t>NH</w:t>
            </w:r>
            <w:r>
              <w:rPr>
                <w:vertAlign w:val="subscript"/>
              </w:rPr>
              <w:t>3</w:t>
            </w:r>
            <w:r>
              <w:t>-N</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TP、TN</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粪大肠菌群</w:t>
            </w:r>
          </w:p>
        </w:tc>
        <w:tc>
          <w:tcPr>
            <w:tcW w:w="1262" w:type="pct"/>
            <w:vAlign w:val="center"/>
          </w:tcPr>
          <w:p w14:paraId="1A369EFF">
            <w:pPr>
              <w:adjustRightInd w:val="0"/>
              <w:snapToGrid w:val="0"/>
              <w:jc w:val="center"/>
              <w:rPr>
                <w:szCs w:val="21"/>
              </w:rPr>
            </w:pPr>
            <w:r>
              <w:rPr>
                <w:rFonts w:hint="eastAsia"/>
                <w:szCs w:val="21"/>
              </w:rPr>
              <w:t>格栅+进水泵井+</w:t>
            </w:r>
            <w:r>
              <w:rPr>
                <w:rFonts w:hint="eastAsia"/>
                <w:szCs w:val="21"/>
                <w:lang w:val="en-US" w:eastAsia="zh-CN"/>
              </w:rPr>
              <w:t>调节池</w:t>
            </w:r>
            <w:r>
              <w:rPr>
                <w:rFonts w:hint="eastAsia"/>
                <w:szCs w:val="21"/>
              </w:rPr>
              <w:t>+AAO</w:t>
            </w:r>
            <w:r>
              <w:rPr>
                <w:rFonts w:hint="eastAsia"/>
                <w:szCs w:val="21"/>
                <w:lang w:val="en-US" w:eastAsia="zh-CN"/>
              </w:rPr>
              <w:t>一体化</w:t>
            </w:r>
            <w:r>
              <w:rPr>
                <w:rFonts w:hint="eastAsia"/>
                <w:szCs w:val="21"/>
              </w:rPr>
              <w:t>生物反应池+MBR膜池+消毒</w:t>
            </w:r>
          </w:p>
        </w:tc>
        <w:tc>
          <w:tcPr>
            <w:tcW w:w="1552" w:type="pct"/>
            <w:vAlign w:val="center"/>
          </w:tcPr>
          <w:p w14:paraId="29157A2B">
            <w:pPr>
              <w:pStyle w:val="38"/>
            </w:pPr>
            <w:r>
              <w:rPr>
                <w:rFonts w:hint="eastAsia"/>
              </w:rPr>
              <w:t>《城镇污水处理厂污染物排放标准》（GB18918-2002）一级A标准</w:t>
            </w:r>
          </w:p>
        </w:tc>
      </w:tr>
      <w:tr w14:paraId="4257E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Align w:val="center"/>
          </w:tcPr>
          <w:p w14:paraId="6E76CE6E">
            <w:pPr>
              <w:adjustRightInd w:val="0"/>
              <w:snapToGrid w:val="0"/>
              <w:jc w:val="center"/>
              <w:rPr>
                <w:szCs w:val="21"/>
              </w:rPr>
            </w:pPr>
            <w:r>
              <w:rPr>
                <w:szCs w:val="21"/>
              </w:rPr>
              <w:t>声环境</w:t>
            </w:r>
          </w:p>
        </w:tc>
        <w:tc>
          <w:tcPr>
            <w:tcW w:w="855" w:type="pct"/>
            <w:vAlign w:val="center"/>
          </w:tcPr>
          <w:p w14:paraId="03773CD2">
            <w:pPr>
              <w:adjustRightInd w:val="0"/>
              <w:snapToGrid w:val="0"/>
              <w:jc w:val="center"/>
              <w:rPr>
                <w:szCs w:val="21"/>
              </w:rPr>
            </w:pPr>
            <w:r>
              <w:rPr>
                <w:rFonts w:hint="eastAsia"/>
                <w:szCs w:val="21"/>
              </w:rPr>
              <w:t>各项目厂界</w:t>
            </w:r>
          </w:p>
        </w:tc>
        <w:tc>
          <w:tcPr>
            <w:tcW w:w="732" w:type="pct"/>
            <w:vAlign w:val="center"/>
          </w:tcPr>
          <w:p w14:paraId="1B7A8743">
            <w:pPr>
              <w:adjustRightInd w:val="0"/>
              <w:snapToGrid w:val="0"/>
              <w:jc w:val="center"/>
              <w:rPr>
                <w:szCs w:val="21"/>
              </w:rPr>
            </w:pPr>
            <w:r>
              <w:rPr>
                <w:rFonts w:hint="eastAsia"/>
                <w:szCs w:val="21"/>
              </w:rPr>
              <w:t>等效连续A声级</w:t>
            </w:r>
          </w:p>
        </w:tc>
        <w:tc>
          <w:tcPr>
            <w:tcW w:w="1262" w:type="pct"/>
            <w:vAlign w:val="center"/>
          </w:tcPr>
          <w:p w14:paraId="7078B314">
            <w:pPr>
              <w:adjustRightInd w:val="0"/>
              <w:snapToGrid w:val="0"/>
              <w:jc w:val="left"/>
              <w:rPr>
                <w:szCs w:val="21"/>
              </w:rPr>
            </w:pPr>
            <w:r>
              <w:rPr>
                <w:rFonts w:hint="eastAsia"/>
                <w:szCs w:val="21"/>
              </w:rPr>
              <w:t>选用低噪声设备，安装减振基础，减少振动引起的噪声；注意噪声设备维护；厂房隔声</w:t>
            </w:r>
          </w:p>
        </w:tc>
        <w:tc>
          <w:tcPr>
            <w:tcW w:w="1552" w:type="pct"/>
            <w:vAlign w:val="center"/>
          </w:tcPr>
          <w:p w14:paraId="1AF89C43">
            <w:pPr>
              <w:adjustRightInd w:val="0"/>
              <w:snapToGrid w:val="0"/>
              <w:jc w:val="center"/>
              <w:rPr>
                <w:szCs w:val="21"/>
              </w:rPr>
            </w:pPr>
            <w:r>
              <w:rPr>
                <w:szCs w:val="21"/>
              </w:rPr>
              <w:t>《工业企业厂界环境噪声排放标准》（GB12348-2008）</w:t>
            </w:r>
            <w:r>
              <w:rPr>
                <w:rFonts w:hint="eastAsia"/>
                <w:szCs w:val="21"/>
              </w:rPr>
              <w:t>中</w:t>
            </w:r>
            <w:r>
              <w:rPr>
                <w:rFonts w:hint="eastAsia"/>
                <w:szCs w:val="21"/>
                <w:lang w:val="en-US" w:eastAsia="zh-CN"/>
              </w:rPr>
              <w:t>2</w:t>
            </w:r>
            <w:r>
              <w:rPr>
                <w:rFonts w:hint="eastAsia"/>
                <w:szCs w:val="21"/>
                <w:lang w:eastAsia="zh-CN"/>
              </w:rPr>
              <w:t>、</w:t>
            </w:r>
            <w:r>
              <w:rPr>
                <w:rFonts w:hint="eastAsia"/>
                <w:szCs w:val="21"/>
                <w:lang w:val="en-US" w:eastAsia="zh-CN"/>
              </w:rPr>
              <w:t>4</w:t>
            </w:r>
            <w:r>
              <w:rPr>
                <w:szCs w:val="21"/>
              </w:rPr>
              <w:t>类标准</w:t>
            </w:r>
          </w:p>
        </w:tc>
      </w:tr>
      <w:tr w14:paraId="66E00F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Align w:val="center"/>
          </w:tcPr>
          <w:p w14:paraId="71299A32">
            <w:pPr>
              <w:adjustRightInd w:val="0"/>
              <w:snapToGrid w:val="0"/>
              <w:jc w:val="center"/>
              <w:rPr>
                <w:szCs w:val="21"/>
              </w:rPr>
            </w:pPr>
            <w:r>
              <w:rPr>
                <w:rFonts w:hint="eastAsia"/>
                <w:szCs w:val="21"/>
              </w:rPr>
              <w:t>电磁辐射</w:t>
            </w:r>
          </w:p>
        </w:tc>
        <w:tc>
          <w:tcPr>
            <w:tcW w:w="4402" w:type="pct"/>
            <w:gridSpan w:val="4"/>
            <w:vAlign w:val="center"/>
          </w:tcPr>
          <w:p w14:paraId="7DF4EE58">
            <w:pPr>
              <w:adjustRightInd w:val="0"/>
              <w:snapToGrid w:val="0"/>
              <w:jc w:val="center"/>
              <w:rPr>
                <w:szCs w:val="21"/>
              </w:rPr>
            </w:pPr>
            <w:r>
              <w:rPr>
                <w:rFonts w:hint="eastAsia"/>
                <w:szCs w:val="21"/>
              </w:rPr>
              <w:t>无</w:t>
            </w:r>
          </w:p>
        </w:tc>
      </w:tr>
      <w:tr w14:paraId="5B644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97" w:type="pct"/>
            <w:vAlign w:val="center"/>
          </w:tcPr>
          <w:p w14:paraId="7A0466A3">
            <w:pPr>
              <w:adjustRightInd w:val="0"/>
              <w:snapToGrid w:val="0"/>
              <w:spacing w:line="0" w:lineRule="atLeast"/>
              <w:jc w:val="center"/>
              <w:rPr>
                <w:szCs w:val="21"/>
              </w:rPr>
            </w:pPr>
            <w:r>
              <w:rPr>
                <w:szCs w:val="21"/>
              </w:rPr>
              <w:t>固体废物</w:t>
            </w:r>
          </w:p>
        </w:tc>
        <w:tc>
          <w:tcPr>
            <w:tcW w:w="4402" w:type="pct"/>
            <w:gridSpan w:val="4"/>
            <w:vAlign w:val="center"/>
          </w:tcPr>
          <w:p w14:paraId="0A314483">
            <w:pPr>
              <w:spacing w:line="0" w:lineRule="atLeast"/>
              <w:jc w:val="left"/>
              <w:rPr>
                <w:szCs w:val="21"/>
              </w:rPr>
            </w:pPr>
            <w:r>
              <w:rPr>
                <w:rFonts w:hint="eastAsia"/>
              </w:rPr>
              <w:t>一般固体废物中废包装材料</w:t>
            </w:r>
            <w:r>
              <w:t>定期外售资源回收单位；危险废物暂存于危废暂存间，定期交由有资质单位处置；</w:t>
            </w:r>
            <w:r>
              <w:rPr>
                <w:rFonts w:hint="eastAsia"/>
              </w:rPr>
              <w:t>栅渣、沉砂、</w:t>
            </w:r>
            <w:r>
              <w:t>生活垃圾交由环卫部门处置</w:t>
            </w:r>
            <w:r>
              <w:rPr>
                <w:rFonts w:hint="eastAsia"/>
              </w:rPr>
              <w:t>；污泥储存于污泥斗，定期转运</w:t>
            </w:r>
            <w:r>
              <w:rPr>
                <w:rFonts w:hint="eastAsia"/>
                <w:szCs w:val="21"/>
              </w:rPr>
              <w:t>。</w:t>
            </w:r>
          </w:p>
        </w:tc>
      </w:tr>
      <w:tr w14:paraId="012C7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Align w:val="center"/>
          </w:tcPr>
          <w:p w14:paraId="7351ADF6">
            <w:pPr>
              <w:adjustRightInd w:val="0"/>
              <w:snapToGrid w:val="0"/>
              <w:spacing w:line="0" w:lineRule="atLeast"/>
              <w:jc w:val="center"/>
              <w:rPr>
                <w:szCs w:val="21"/>
              </w:rPr>
            </w:pPr>
            <w:r>
              <w:rPr>
                <w:szCs w:val="21"/>
              </w:rPr>
              <w:t>土壤及地下水污染防治措施</w:t>
            </w:r>
          </w:p>
        </w:tc>
        <w:tc>
          <w:tcPr>
            <w:tcW w:w="4402" w:type="pct"/>
            <w:gridSpan w:val="4"/>
            <w:vAlign w:val="center"/>
          </w:tcPr>
          <w:p w14:paraId="0C3983B9">
            <w:pPr>
              <w:adjustRightInd w:val="0"/>
              <w:snapToGrid w:val="0"/>
              <w:jc w:val="left"/>
              <w:rPr>
                <w:szCs w:val="21"/>
              </w:rPr>
            </w:pPr>
            <w:r>
              <w:rPr>
                <w:rFonts w:hint="eastAsia"/>
                <w:szCs w:val="21"/>
              </w:rPr>
              <w:t>分区防渗：其中各污水处理主体构筑物、危废暂存间、污泥脱水机房做好重点防渗措施；一般固废暂存间、清水池做好一般防渗措施；</w:t>
            </w:r>
            <w:r>
              <w:rPr>
                <w:rFonts w:hint="eastAsia"/>
                <w:szCs w:val="21"/>
                <w:lang w:val="en-US" w:eastAsia="zh-CN"/>
              </w:rPr>
              <w:t>厂区</w:t>
            </w:r>
            <w:r>
              <w:rPr>
                <w:rFonts w:hint="eastAsia"/>
                <w:szCs w:val="21"/>
              </w:rPr>
              <w:t>地面道路，综合楼等其他地面等其他地面做好简单防渗措施。</w:t>
            </w:r>
          </w:p>
        </w:tc>
      </w:tr>
      <w:tr w14:paraId="0B825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7" w:type="pct"/>
            <w:vAlign w:val="center"/>
          </w:tcPr>
          <w:p w14:paraId="15B5148E">
            <w:pPr>
              <w:adjustRightInd w:val="0"/>
              <w:snapToGrid w:val="0"/>
              <w:spacing w:line="0" w:lineRule="atLeast"/>
              <w:jc w:val="center"/>
              <w:rPr>
                <w:szCs w:val="21"/>
              </w:rPr>
            </w:pPr>
            <w:r>
              <w:rPr>
                <w:szCs w:val="21"/>
              </w:rPr>
              <w:t>生态保护措施</w:t>
            </w:r>
          </w:p>
        </w:tc>
        <w:tc>
          <w:tcPr>
            <w:tcW w:w="4402" w:type="pct"/>
            <w:gridSpan w:val="4"/>
            <w:vAlign w:val="center"/>
          </w:tcPr>
          <w:p w14:paraId="03C0FC77">
            <w:pPr>
              <w:pStyle w:val="54"/>
            </w:pPr>
            <w:r>
              <w:rPr>
                <w:rFonts w:hint="eastAsia"/>
              </w:rPr>
              <w:t>无</w:t>
            </w:r>
          </w:p>
        </w:tc>
      </w:tr>
      <w:tr w14:paraId="59B08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Align w:val="center"/>
          </w:tcPr>
          <w:p w14:paraId="390019E7">
            <w:pPr>
              <w:adjustRightInd w:val="0"/>
              <w:snapToGrid w:val="0"/>
              <w:spacing w:line="0" w:lineRule="atLeast"/>
              <w:jc w:val="center"/>
              <w:rPr>
                <w:spacing w:val="-8"/>
                <w:szCs w:val="21"/>
              </w:rPr>
            </w:pPr>
            <w:r>
              <w:rPr>
                <w:spacing w:val="-8"/>
                <w:szCs w:val="21"/>
              </w:rPr>
              <w:t>环境风险</w:t>
            </w:r>
          </w:p>
          <w:p w14:paraId="0D5A9C66">
            <w:pPr>
              <w:adjustRightInd w:val="0"/>
              <w:snapToGrid w:val="0"/>
              <w:spacing w:line="0" w:lineRule="atLeast"/>
              <w:jc w:val="center"/>
              <w:rPr>
                <w:spacing w:val="-8"/>
                <w:szCs w:val="21"/>
              </w:rPr>
            </w:pPr>
            <w:r>
              <w:rPr>
                <w:spacing w:val="-8"/>
                <w:szCs w:val="21"/>
              </w:rPr>
              <w:t>防范措施</w:t>
            </w:r>
          </w:p>
        </w:tc>
        <w:tc>
          <w:tcPr>
            <w:tcW w:w="4402" w:type="pct"/>
            <w:gridSpan w:val="4"/>
            <w:vAlign w:val="center"/>
          </w:tcPr>
          <w:p w14:paraId="7562B641">
            <w:pPr>
              <w:pStyle w:val="38"/>
              <w:jc w:val="left"/>
            </w:pPr>
            <w:r>
              <w:rPr>
                <w:rFonts w:hint="eastAsia"/>
              </w:rPr>
              <w:t>（1）大气环境风险防范措施</w:t>
            </w:r>
          </w:p>
          <w:p w14:paraId="08A4E71E">
            <w:pPr>
              <w:pStyle w:val="38"/>
              <w:jc w:val="left"/>
            </w:pPr>
            <w:r>
              <w:rPr>
                <w:rFonts w:hint="eastAsia"/>
              </w:rPr>
              <w:t>为有效防治项目恶臭事故排放，拟采取如下措施：</w:t>
            </w:r>
          </w:p>
          <w:p w14:paraId="4CAF3A6C">
            <w:pPr>
              <w:pStyle w:val="38"/>
              <w:jc w:val="left"/>
            </w:pPr>
            <w:r>
              <w:rPr>
                <w:rFonts w:hint="eastAsia"/>
              </w:rPr>
              <w:t>①采用先进合理、安全可靠的工艺流程和生产设备，从根本上提高污水处理设施和贮存装置的安全性，防止和减少事故的发生。严格管理，建立完整的设备定期排查、维护工作制度，确保生产设备的完好率，切实防范项目污水的跑冒滴漏。</w:t>
            </w:r>
          </w:p>
          <w:p w14:paraId="6D5C600E">
            <w:pPr>
              <w:pStyle w:val="38"/>
              <w:jc w:val="left"/>
            </w:pPr>
            <w:r>
              <w:rPr>
                <w:rFonts w:hint="eastAsia"/>
              </w:rPr>
              <w:t>②合理设计恶臭气体收集净化系统，工艺管线的设计、安装均考虑应力变化、管线的振动及蠕变、密封防泄漏等多种因素，并采取设置膨胀节及固定管架等安全措施。</w:t>
            </w:r>
          </w:p>
          <w:p w14:paraId="36AD6502">
            <w:pPr>
              <w:pStyle w:val="38"/>
              <w:jc w:val="left"/>
            </w:pPr>
            <w:r>
              <w:rPr>
                <w:rFonts w:hint="eastAsia"/>
              </w:rPr>
              <w:t>③对集气罩、通风管道、阀门、风机等设备进行定期检查，及时维护，以确保恶臭气体得到有效收集和处理。</w:t>
            </w:r>
          </w:p>
          <w:p w14:paraId="1AAF8198">
            <w:pPr>
              <w:pStyle w:val="38"/>
              <w:jc w:val="left"/>
            </w:pPr>
            <w:r>
              <w:rPr>
                <w:rFonts w:hint="eastAsia"/>
              </w:rPr>
              <w:t>④对气体净化装置等关键设备的维护保养，确保设备的正常运转，对有关人员进行培训，持证上岗。</w:t>
            </w:r>
          </w:p>
          <w:p w14:paraId="6CEA2DB3">
            <w:pPr>
              <w:pStyle w:val="38"/>
              <w:jc w:val="left"/>
            </w:pPr>
            <w:r>
              <w:rPr>
                <w:rFonts w:hint="eastAsia"/>
              </w:rPr>
              <w:t>⑤建立完善的档案制度，记录事故发生原因、工况以便不断总结经验，杜绝事故重复发生。</w:t>
            </w:r>
          </w:p>
          <w:p w14:paraId="691989C1">
            <w:pPr>
              <w:pStyle w:val="38"/>
              <w:jc w:val="left"/>
            </w:pPr>
            <w:r>
              <w:rPr>
                <w:rFonts w:hint="eastAsia"/>
              </w:rPr>
              <w:t>⑥认真搞好厂区绿化建设，在厂区四周设置宽大绿化带，同时在各构筑物的间隙种植乔、灌、草相结合的立体绿化体系，以减少臭味对环境的影响。</w:t>
            </w:r>
          </w:p>
          <w:p w14:paraId="4F050FBF">
            <w:pPr>
              <w:pStyle w:val="38"/>
              <w:jc w:val="left"/>
            </w:pPr>
            <w:r>
              <w:rPr>
                <w:rFonts w:hint="eastAsia"/>
              </w:rPr>
              <w:t>（2）危废间泄漏风险防范措施</w:t>
            </w:r>
          </w:p>
          <w:p w14:paraId="5772243A">
            <w:pPr>
              <w:pStyle w:val="38"/>
              <w:jc w:val="left"/>
            </w:pPr>
            <w:r>
              <w:rPr>
                <w:rFonts w:hint="eastAsia"/>
              </w:rPr>
              <w:t>本项目所产生的危险废物要严格管理，集中收集，分类处理，严格按照要求暂存，交由有危险废物处理资质的单位回收处理。</w:t>
            </w:r>
          </w:p>
          <w:p w14:paraId="42201939">
            <w:pPr>
              <w:pStyle w:val="38"/>
              <w:jc w:val="left"/>
            </w:pPr>
            <w:r>
              <w:rPr>
                <w:rFonts w:hint="eastAsia"/>
              </w:rPr>
              <w:t>①本项目产生的危废避免露天存放，分类收集后应使用密闭包装桶盛装；</w:t>
            </w:r>
          </w:p>
          <w:p w14:paraId="3C55E066">
            <w:pPr>
              <w:pStyle w:val="38"/>
              <w:jc w:val="left"/>
            </w:pPr>
            <w:r>
              <w:rPr>
                <w:rFonts w:hint="eastAsia"/>
              </w:rPr>
              <w:t>②危废间要做好防风、防雨、防晒措施；地面和裙脚做好防腐、防渗漏措施；门口设置漫坡、围堰。</w:t>
            </w:r>
          </w:p>
          <w:p w14:paraId="478E6FC0">
            <w:pPr>
              <w:pStyle w:val="38"/>
              <w:jc w:val="left"/>
            </w:pPr>
            <w:r>
              <w:rPr>
                <w:rFonts w:hint="eastAsia"/>
              </w:rPr>
              <w:t>（3）火灾事故防范措施</w:t>
            </w:r>
          </w:p>
          <w:p w14:paraId="6D18D56C">
            <w:pPr>
              <w:pStyle w:val="38"/>
              <w:jc w:val="left"/>
            </w:pPr>
            <w:r>
              <w:rPr>
                <w:rFonts w:hint="eastAsia"/>
              </w:rPr>
              <w:t>配备消防栓和消防灭火器材等灭火装置，预留安全疏散通道，严禁在生产区吸烟；对电路定期检查，严格控制用电负荷；严格生产管理，生产过程中产生的木屑，粉尘及时清理，不得在生产区长期存在，以杜绝火灾隐患。发生安全事故时有相应安全应急措施，企业内部制定严格的管理条例和岗位责任制，并严格监督执行，加强职工的安全生产教育，增强风险意识。</w:t>
            </w:r>
          </w:p>
          <w:p w14:paraId="7737A680">
            <w:pPr>
              <w:pStyle w:val="38"/>
              <w:jc w:val="left"/>
            </w:pPr>
            <w:r>
              <w:rPr>
                <w:rFonts w:hint="eastAsia"/>
              </w:rPr>
              <w:t>（4）事故废水环境风险防范措施</w:t>
            </w:r>
          </w:p>
          <w:p w14:paraId="0AA26D74">
            <w:pPr>
              <w:pStyle w:val="38"/>
              <w:jc w:val="left"/>
            </w:pPr>
            <w:r>
              <w:rPr>
                <w:rFonts w:hint="eastAsia"/>
              </w:rPr>
              <w:t>项目均为生活污水处理厂，污水水质简单，发生进水水质异常导致处理效果生活污水处理效果差从而发生事故排放的概率较低，主要采取以下措施保证污水处理设施的运行稳定，从而杜绝事故排放。</w:t>
            </w:r>
          </w:p>
          <w:p w14:paraId="43CC2D03">
            <w:pPr>
              <w:pStyle w:val="38"/>
              <w:jc w:val="left"/>
            </w:pPr>
            <w:r>
              <w:rPr>
                <w:rFonts w:hint="eastAsia"/>
              </w:rPr>
              <w:t>①完善污水管网建设，保证按规划要求收集污水量，形成正常的污水处理量。</w:t>
            </w:r>
          </w:p>
          <w:p w14:paraId="5B4754CD">
            <w:pPr>
              <w:pStyle w:val="38"/>
              <w:jc w:val="left"/>
            </w:pPr>
            <w:r>
              <w:rPr>
                <w:rFonts w:hint="eastAsia"/>
              </w:rPr>
              <w:t>②污水厂的水泵、污泥泵等设备均采用一备一用的配置，且用电采用双回路供电，保证运行设备有足够的备用率。</w:t>
            </w:r>
          </w:p>
          <w:p w14:paraId="3D15FB25">
            <w:pPr>
              <w:pStyle w:val="38"/>
              <w:jc w:val="left"/>
            </w:pPr>
            <w:r>
              <w:rPr>
                <w:rFonts w:hint="eastAsia"/>
              </w:rPr>
              <w:t>③加强管理和设备维护工作，保持设备的完好率和处理的高效率。备用设备或替换下来的设备要及时检修，并定期检查，使其在需要时能及时使用，特别是确保在线检查仪正常使用，防止污水未处理直接流入河道。</w:t>
            </w:r>
          </w:p>
          <w:p w14:paraId="62652785">
            <w:pPr>
              <w:pStyle w:val="38"/>
              <w:jc w:val="left"/>
            </w:pPr>
            <w:r>
              <w:rPr>
                <w:rFonts w:hint="eastAsia"/>
              </w:rPr>
              <w:t>④污水处理厂应针对可能发生的事故，建立合适的事故处理程序、机制和措施。一旦发生事故，则采取相应的措施，将事故对环境的影响控制在最小或较小范围。</w:t>
            </w:r>
          </w:p>
          <w:p w14:paraId="2D26903B">
            <w:pPr>
              <w:pStyle w:val="38"/>
              <w:jc w:val="left"/>
            </w:pPr>
            <w:r>
              <w:rPr>
                <w:rFonts w:hint="eastAsia"/>
              </w:rPr>
              <w:t>⑤为避免停电造成的不利影响，污水处理厂在设计中应采用双电路供电，以保证污水处理设施的连续运行。</w:t>
            </w:r>
          </w:p>
          <w:p w14:paraId="37A7FC7E">
            <w:pPr>
              <w:pStyle w:val="38"/>
              <w:jc w:val="left"/>
            </w:pPr>
            <w:r>
              <w:rPr>
                <w:rFonts w:hint="eastAsia"/>
              </w:rPr>
              <w:t>⑥设置进水、出水水质自动监测装置及报警装置，设置进厂、出水污水截断装置，当事故发生后，立即截断污水来源和杜绝事故排放，及时发现不良水质进入污水处理厂。对进水口和出水口的废水量、pH、</w:t>
            </w:r>
            <w:r>
              <w:rPr>
                <w:rFonts w:hint="default"/>
              </w:rPr>
              <w:t>COD</w:t>
            </w:r>
            <w:r>
              <w:rPr>
                <w:rFonts w:hint="default"/>
                <w:vertAlign w:val="subscript"/>
              </w:rPr>
              <w:t>Cr</w:t>
            </w:r>
            <w:r>
              <w:rPr>
                <w:rFonts w:hint="eastAsia"/>
              </w:rPr>
              <w:t>、氨氮等主要污染因子进行在线监测，同时本环评建议污水处理厂在线监测系统与生态环境主管部门联网，一旦发现废水可生化性较低或总排口废水不达标立即报警，同时截断污水来源和杜绝事故排放。</w:t>
            </w:r>
          </w:p>
          <w:p w14:paraId="07EFC8E2">
            <w:pPr>
              <w:pStyle w:val="38"/>
              <w:jc w:val="left"/>
              <w:rPr>
                <w:rFonts w:hint="eastAsia"/>
              </w:rPr>
            </w:pPr>
            <w:r>
              <w:rPr>
                <w:rFonts w:hint="eastAsia"/>
              </w:rPr>
              <w:t>（5）有限空间作业中毒和窒息风险防范措施</w:t>
            </w:r>
          </w:p>
          <w:p w14:paraId="1749C146">
            <w:pPr>
              <w:pStyle w:val="38"/>
              <w:jc w:val="left"/>
            </w:pPr>
            <w:r>
              <w:rPr>
                <w:rFonts w:hint="eastAsia"/>
              </w:rPr>
              <w:t>有限空间作业要严格实行作业审批制度，严格按照“先通风、再检测、后作业”的要求开展作业；作业人员必须正确佩戴和使用劳动防护用品；在作业过程中一旦发生事故，现场有关人员应当立即报警，禁止盲目施救；救援人员必须采取科学的防护措施，在确保自身安全的情况下科学救援，坚决杜绝伤亡扩大。</w:t>
            </w:r>
          </w:p>
        </w:tc>
      </w:tr>
      <w:tr w14:paraId="2994C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Align w:val="center"/>
          </w:tcPr>
          <w:p w14:paraId="34E7F701">
            <w:pPr>
              <w:adjustRightInd w:val="0"/>
              <w:snapToGrid w:val="0"/>
              <w:spacing w:line="0" w:lineRule="atLeast"/>
              <w:jc w:val="center"/>
              <w:rPr>
                <w:spacing w:val="-8"/>
                <w:szCs w:val="21"/>
              </w:rPr>
            </w:pPr>
            <w:r>
              <w:rPr>
                <w:spacing w:val="-8"/>
                <w:szCs w:val="21"/>
              </w:rPr>
              <w:t>其他环境</w:t>
            </w:r>
          </w:p>
          <w:p w14:paraId="2819F781">
            <w:pPr>
              <w:adjustRightInd w:val="0"/>
              <w:snapToGrid w:val="0"/>
              <w:spacing w:line="0" w:lineRule="atLeast"/>
              <w:jc w:val="center"/>
              <w:rPr>
                <w:spacing w:val="-8"/>
                <w:szCs w:val="21"/>
              </w:rPr>
            </w:pPr>
            <w:r>
              <w:rPr>
                <w:spacing w:val="-8"/>
                <w:szCs w:val="21"/>
              </w:rPr>
              <w:t>管理要求</w:t>
            </w:r>
          </w:p>
        </w:tc>
        <w:tc>
          <w:tcPr>
            <w:tcW w:w="4402" w:type="pct"/>
            <w:gridSpan w:val="4"/>
            <w:vAlign w:val="center"/>
          </w:tcPr>
          <w:p w14:paraId="4375C245">
            <w:pPr>
              <w:pStyle w:val="54"/>
              <w:jc w:val="left"/>
            </w:pPr>
            <w:r>
              <w:t>①</w:t>
            </w:r>
            <w:r>
              <w:rPr>
                <w:rFonts w:hint="eastAsia"/>
              </w:rPr>
              <w:t>规范化排污口设置，</w:t>
            </w:r>
            <w:r>
              <w:t>加强环保设施的维护和管理，保证设备正常运行，落实环保资金，以实施治污措施；</w:t>
            </w:r>
          </w:p>
          <w:p w14:paraId="17C178E5">
            <w:pPr>
              <w:pStyle w:val="54"/>
              <w:jc w:val="left"/>
            </w:pPr>
            <w:r>
              <w:t>②建设单位应严格</w:t>
            </w:r>
            <w:r>
              <w:rPr>
                <w:rFonts w:hint="eastAsia"/>
              </w:rPr>
              <w:t>按照</w:t>
            </w:r>
            <w:r>
              <w:t>环境影响报告表的要求，明确职责，专人管理，切实做好环境管理工作，保证环保设施的正常运行。</w:t>
            </w:r>
          </w:p>
          <w:p w14:paraId="46B0B7CE">
            <w:pPr>
              <w:pStyle w:val="54"/>
              <w:jc w:val="left"/>
            </w:pPr>
            <w:r>
              <w:t>③监测计划</w:t>
            </w:r>
            <w:r>
              <w:rPr>
                <w:rFonts w:hint="eastAsia"/>
              </w:rPr>
              <w:t>：</w:t>
            </w:r>
            <w:r>
              <w:t>环境监测是环境管理技术的重要支持，其主要职责是对本工程污染源和区域的环境质量进行监测，并对监测数据进行统计、分析，以便环境管理部门及时、准确地掌握本工程的污染动态和区域环境质量变化情况。</w:t>
            </w:r>
          </w:p>
          <w:p w14:paraId="5466C35C">
            <w:pPr>
              <w:pStyle w:val="38"/>
              <w:jc w:val="left"/>
              <w:rPr>
                <w:rFonts w:hint="eastAsia"/>
              </w:rPr>
            </w:pPr>
          </w:p>
        </w:tc>
      </w:tr>
    </w:tbl>
    <w:p w14:paraId="3E83E617">
      <w:pPr>
        <w:pStyle w:val="50"/>
        <w:outlineLvl w:val="0"/>
        <w:rPr>
          <w:rFonts w:eastAsia="宋体"/>
          <w:snapToGrid w:val="0"/>
        </w:rPr>
      </w:pPr>
      <w:r>
        <w:rPr>
          <w:rFonts w:eastAsia="宋体"/>
          <w:snapToGrid w:val="0"/>
        </w:rPr>
        <w:br w:type="page"/>
      </w:r>
      <w:bookmarkStart w:id="62" w:name="_Toc12149"/>
      <w:bookmarkStart w:id="63" w:name="_Toc26779"/>
      <w:bookmarkStart w:id="64" w:name="_Toc21525"/>
      <w:bookmarkStart w:id="65" w:name="_Toc8127"/>
      <w:bookmarkStart w:id="66" w:name="_Toc31421"/>
      <w:bookmarkStart w:id="67" w:name="_Toc29465"/>
      <w:r>
        <w:t>结论</w:t>
      </w:r>
      <w:bookmarkEnd w:id="62"/>
      <w:bookmarkEnd w:id="63"/>
      <w:bookmarkEnd w:id="64"/>
      <w:bookmarkEnd w:id="65"/>
      <w:bookmarkEnd w:id="66"/>
      <w:bookmarkEnd w:id="67"/>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14:paraId="1696A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8865" w:type="dxa"/>
            <w:vAlign w:val="center"/>
          </w:tcPr>
          <w:p w14:paraId="16193D9B">
            <w:pPr>
              <w:spacing w:line="360" w:lineRule="auto"/>
              <w:rPr>
                <w:b/>
                <w:color w:val="000000"/>
                <w:sz w:val="24"/>
              </w:rPr>
            </w:pPr>
            <w:r>
              <w:rPr>
                <w:b/>
                <w:color w:val="000000"/>
                <w:sz w:val="24"/>
              </w:rPr>
              <w:t>结论</w:t>
            </w:r>
            <w:r>
              <w:rPr>
                <w:rFonts w:hint="eastAsia"/>
                <w:b/>
                <w:color w:val="000000"/>
                <w:sz w:val="24"/>
              </w:rPr>
              <w:t>：</w:t>
            </w:r>
          </w:p>
          <w:p w14:paraId="21F155F0">
            <w:pPr>
              <w:pStyle w:val="12"/>
              <w:spacing w:line="360" w:lineRule="auto"/>
              <w:ind w:left="0" w:leftChars="0" w:firstLine="480" w:firstLineChars="200"/>
              <w:rPr>
                <w:color w:val="000000"/>
                <w:szCs w:val="24"/>
              </w:rPr>
            </w:pPr>
            <w:r>
              <w:rPr>
                <w:rFonts w:hint="eastAsia"/>
                <w:bCs/>
                <w:color w:val="000000"/>
                <w:szCs w:val="24"/>
              </w:rPr>
              <w:t>拟建项目均符合国家相关产业政策和当地规划</w:t>
            </w:r>
            <w:r>
              <w:rPr>
                <w:bCs/>
                <w:color w:val="000000"/>
                <w:szCs w:val="24"/>
              </w:rPr>
              <w:t>，符合环保审批原则。项目营运过程中产生的污染物经治理后均能达标排放，且污染防治措施技术可靠、经济可行</w:t>
            </w:r>
            <w:r>
              <w:rPr>
                <w:rFonts w:hint="eastAsia"/>
                <w:bCs/>
                <w:color w:val="000000"/>
                <w:szCs w:val="24"/>
              </w:rPr>
              <w:t>，环境风险可控，</w:t>
            </w:r>
            <w:r>
              <w:rPr>
                <w:bCs/>
                <w:color w:val="000000"/>
                <w:szCs w:val="24"/>
              </w:rPr>
              <w:t>项目在落实各项环保措施的前提下，对周围环境影响较小，不会改变</w:t>
            </w:r>
            <w:r>
              <w:rPr>
                <w:rFonts w:hint="eastAsia"/>
                <w:bCs/>
                <w:color w:val="000000"/>
                <w:szCs w:val="24"/>
              </w:rPr>
              <w:t>项目所在区域</w:t>
            </w:r>
            <w:r>
              <w:rPr>
                <w:bCs/>
                <w:color w:val="000000"/>
                <w:szCs w:val="24"/>
              </w:rPr>
              <w:t>环境功能。因此，只要建设单位严格落实环评中提出的各项环保措施，加强环境管理，从环保的角度分析，本项目的建设是可行的。</w:t>
            </w:r>
          </w:p>
          <w:p w14:paraId="792B172E">
            <w:pPr>
              <w:pStyle w:val="42"/>
              <w:ind w:firstLine="480"/>
            </w:pPr>
          </w:p>
          <w:p w14:paraId="1F0BBEFF">
            <w:pPr>
              <w:pStyle w:val="17"/>
              <w:ind w:firstLine="560"/>
            </w:pPr>
          </w:p>
          <w:p w14:paraId="4B8D172B">
            <w:pPr>
              <w:pStyle w:val="18"/>
            </w:pPr>
          </w:p>
          <w:p w14:paraId="7D630DB5">
            <w:pPr>
              <w:pStyle w:val="18"/>
            </w:pPr>
          </w:p>
          <w:p w14:paraId="005BB7AC">
            <w:pPr>
              <w:pStyle w:val="18"/>
            </w:pPr>
          </w:p>
          <w:p w14:paraId="6A806D3B">
            <w:pPr>
              <w:pStyle w:val="18"/>
            </w:pPr>
          </w:p>
          <w:p w14:paraId="6AD095C8">
            <w:pPr>
              <w:pStyle w:val="18"/>
            </w:pPr>
          </w:p>
          <w:p w14:paraId="5CD01DA8">
            <w:pPr>
              <w:pStyle w:val="18"/>
            </w:pPr>
          </w:p>
          <w:p w14:paraId="7D97214F">
            <w:pPr>
              <w:pStyle w:val="18"/>
            </w:pPr>
          </w:p>
          <w:p w14:paraId="17125500">
            <w:pPr>
              <w:pStyle w:val="18"/>
            </w:pPr>
          </w:p>
          <w:p w14:paraId="104C61B1">
            <w:pPr>
              <w:pStyle w:val="18"/>
            </w:pPr>
          </w:p>
          <w:p w14:paraId="0346417B">
            <w:pPr>
              <w:pStyle w:val="18"/>
            </w:pPr>
          </w:p>
          <w:p w14:paraId="163E3425">
            <w:pPr>
              <w:pStyle w:val="18"/>
            </w:pPr>
          </w:p>
          <w:p w14:paraId="6B33DDBA">
            <w:pPr>
              <w:pStyle w:val="18"/>
            </w:pPr>
          </w:p>
          <w:p w14:paraId="756A29AC">
            <w:pPr>
              <w:pStyle w:val="18"/>
            </w:pPr>
          </w:p>
          <w:p w14:paraId="438DBAD0">
            <w:pPr>
              <w:pStyle w:val="18"/>
            </w:pPr>
          </w:p>
          <w:p w14:paraId="0E4C2A4F">
            <w:pPr>
              <w:pStyle w:val="18"/>
            </w:pPr>
          </w:p>
          <w:p w14:paraId="385F0122">
            <w:pPr>
              <w:pStyle w:val="18"/>
            </w:pPr>
          </w:p>
          <w:p w14:paraId="3D965829">
            <w:pPr>
              <w:pStyle w:val="18"/>
            </w:pPr>
          </w:p>
          <w:p w14:paraId="2D3160EE">
            <w:pPr>
              <w:pStyle w:val="18"/>
            </w:pPr>
          </w:p>
          <w:p w14:paraId="2268464C">
            <w:pPr>
              <w:pStyle w:val="18"/>
            </w:pPr>
          </w:p>
          <w:p w14:paraId="740CEE29">
            <w:pPr>
              <w:pStyle w:val="18"/>
            </w:pPr>
          </w:p>
          <w:p w14:paraId="014CDD4A">
            <w:pPr>
              <w:pStyle w:val="18"/>
            </w:pPr>
          </w:p>
          <w:p w14:paraId="3230355B">
            <w:pPr>
              <w:pStyle w:val="18"/>
            </w:pPr>
          </w:p>
          <w:p w14:paraId="067A9E23">
            <w:pPr>
              <w:pStyle w:val="18"/>
            </w:pPr>
          </w:p>
          <w:p w14:paraId="5E1C3C3C">
            <w:pPr>
              <w:pStyle w:val="18"/>
            </w:pPr>
          </w:p>
          <w:p w14:paraId="49DA167F">
            <w:pPr>
              <w:pStyle w:val="18"/>
            </w:pPr>
          </w:p>
          <w:p w14:paraId="3743E3D7">
            <w:pPr>
              <w:pStyle w:val="18"/>
            </w:pPr>
          </w:p>
          <w:p w14:paraId="2222F60D">
            <w:pPr>
              <w:pStyle w:val="18"/>
            </w:pPr>
          </w:p>
          <w:p w14:paraId="6AD61AB9">
            <w:pPr>
              <w:pStyle w:val="18"/>
            </w:pPr>
          </w:p>
          <w:p w14:paraId="71661432">
            <w:pPr>
              <w:pStyle w:val="18"/>
            </w:pPr>
          </w:p>
          <w:p w14:paraId="096B49C8">
            <w:pPr>
              <w:pStyle w:val="18"/>
            </w:pPr>
          </w:p>
          <w:p w14:paraId="2C376998">
            <w:pPr>
              <w:pStyle w:val="18"/>
            </w:pPr>
          </w:p>
          <w:p w14:paraId="42172047">
            <w:pPr>
              <w:pStyle w:val="18"/>
            </w:pPr>
          </w:p>
          <w:p w14:paraId="3C4DB19A">
            <w:pPr>
              <w:pStyle w:val="18"/>
            </w:pPr>
          </w:p>
          <w:p w14:paraId="605262ED">
            <w:pPr>
              <w:pStyle w:val="18"/>
            </w:pPr>
          </w:p>
          <w:p w14:paraId="7DC8FD7C">
            <w:pPr>
              <w:pStyle w:val="18"/>
            </w:pPr>
          </w:p>
          <w:p w14:paraId="256F3993">
            <w:pPr>
              <w:pStyle w:val="18"/>
            </w:pPr>
          </w:p>
          <w:p w14:paraId="620F9022">
            <w:pPr>
              <w:pStyle w:val="18"/>
            </w:pPr>
          </w:p>
          <w:p w14:paraId="0843ABFC">
            <w:pPr>
              <w:pStyle w:val="18"/>
            </w:pPr>
          </w:p>
          <w:p w14:paraId="6D1646C5">
            <w:pPr>
              <w:pStyle w:val="18"/>
            </w:pPr>
          </w:p>
        </w:tc>
      </w:tr>
    </w:tbl>
    <w:p w14:paraId="7B6411E2">
      <w:pPr>
        <w:sectPr>
          <w:pgSz w:w="11906" w:h="16838"/>
          <w:pgMar w:top="1134" w:right="1134" w:bottom="1134" w:left="1417" w:header="851" w:footer="850" w:gutter="0"/>
          <w:pgBorders>
            <w:top w:val="none" w:sz="0" w:space="0"/>
            <w:left w:val="none" w:sz="0" w:space="0"/>
            <w:bottom w:val="none" w:sz="0" w:space="0"/>
            <w:right w:val="none" w:sz="0" w:space="0"/>
          </w:pgBorders>
          <w:pgNumType w:fmt="numberInDash"/>
          <w:cols w:space="720" w:num="1"/>
          <w:docGrid w:linePitch="312" w:charSpace="0"/>
        </w:sectPr>
      </w:pPr>
    </w:p>
    <w:p w14:paraId="6BBFC228">
      <w:pPr>
        <w:pStyle w:val="24"/>
        <w:adjustRightInd w:val="0"/>
        <w:snapToGrid w:val="0"/>
        <w:spacing w:before="0" w:beforeAutospacing="0" w:after="0" w:afterAutospacing="0" w:line="360" w:lineRule="auto"/>
        <w:outlineLvl w:val="0"/>
        <w:rPr>
          <w:rFonts w:ascii="Times New Roman" w:hAnsi="Times New Roman"/>
          <w:snapToGrid w:val="0"/>
          <w:sz w:val="32"/>
          <w:szCs w:val="32"/>
        </w:rPr>
      </w:pPr>
      <w:bookmarkStart w:id="68" w:name="_Toc11850"/>
      <w:bookmarkStart w:id="69" w:name="_Toc23133"/>
      <w:bookmarkStart w:id="70" w:name="_Toc17854"/>
      <w:bookmarkStart w:id="71" w:name="_Toc16030"/>
      <w:bookmarkStart w:id="72" w:name="_Toc3678"/>
      <w:bookmarkStart w:id="73" w:name="_Toc19822"/>
      <w:bookmarkStart w:id="74" w:name="_Toc21318"/>
      <w:r>
        <w:rPr>
          <w:rFonts w:ascii="Times New Roman" w:hAnsi="Times New Roman"/>
          <w:snapToGrid w:val="0"/>
          <w:sz w:val="32"/>
          <w:szCs w:val="32"/>
        </w:rPr>
        <w:t>附表</w:t>
      </w:r>
      <w:bookmarkEnd w:id="68"/>
      <w:bookmarkEnd w:id="69"/>
      <w:bookmarkEnd w:id="70"/>
      <w:bookmarkEnd w:id="71"/>
      <w:bookmarkEnd w:id="72"/>
      <w:bookmarkEnd w:id="73"/>
      <w:bookmarkEnd w:id="74"/>
    </w:p>
    <w:p w14:paraId="64C198F2">
      <w:pPr>
        <w:pStyle w:val="24"/>
        <w:adjustRightInd w:val="0"/>
        <w:snapToGrid w:val="0"/>
        <w:spacing w:before="0" w:beforeAutospacing="0" w:after="0" w:afterAutospacing="0" w:line="360" w:lineRule="auto"/>
        <w:jc w:val="center"/>
        <w:outlineLvl w:val="0"/>
        <w:rPr>
          <w:rFonts w:ascii="Times New Roman" w:hAnsi="Times New Roman"/>
          <w:snapToGrid w:val="0"/>
          <w:sz w:val="38"/>
          <w:szCs w:val="38"/>
        </w:rPr>
      </w:pPr>
      <w:bookmarkStart w:id="75" w:name="_Toc20497"/>
      <w:bookmarkStart w:id="76" w:name="_Toc32186"/>
      <w:bookmarkStart w:id="77" w:name="_Toc17984"/>
      <w:bookmarkStart w:id="78" w:name="_Toc27511"/>
      <w:bookmarkStart w:id="79" w:name="_Toc21252"/>
      <w:bookmarkStart w:id="80" w:name="_Toc13027"/>
      <w:bookmarkStart w:id="81" w:name="_Toc6741"/>
      <w:r>
        <w:rPr>
          <w:rStyle w:val="58"/>
          <w:b/>
          <w:bCs/>
          <w:sz w:val="44"/>
          <w:szCs w:val="44"/>
        </w:rPr>
        <w:t>建设项目污染物排放量汇总表</w:t>
      </w:r>
      <w:bookmarkEnd w:id="75"/>
      <w:bookmarkEnd w:id="76"/>
      <w:bookmarkEnd w:id="77"/>
      <w:bookmarkEnd w:id="78"/>
      <w:bookmarkEnd w:id="79"/>
      <w:bookmarkEnd w:id="80"/>
      <w:bookmarkEnd w:id="81"/>
    </w:p>
    <w:tbl>
      <w:tblPr>
        <w:tblStyle w:val="28"/>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1961"/>
        <w:gridCol w:w="1299"/>
        <w:gridCol w:w="1298"/>
        <w:gridCol w:w="1562"/>
        <w:gridCol w:w="1576"/>
        <w:gridCol w:w="1638"/>
        <w:gridCol w:w="1869"/>
        <w:gridCol w:w="1315"/>
      </w:tblGrid>
      <w:tr w14:paraId="411E7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44" w:type="pct"/>
            <w:tcBorders>
              <w:tl2br w:val="single" w:color="auto" w:sz="4" w:space="0"/>
            </w:tcBorders>
            <w:tcMar>
              <w:left w:w="28" w:type="dxa"/>
              <w:right w:w="28" w:type="dxa"/>
            </w:tcMar>
            <w:vAlign w:val="center"/>
          </w:tcPr>
          <w:p w14:paraId="3901BEEA">
            <w:pPr>
              <w:pStyle w:val="54"/>
              <w:ind w:left="0" w:leftChars="0" w:right="0" w:rightChars="0" w:firstLine="0" w:firstLineChars="0"/>
              <w:jc w:val="center"/>
              <w:rPr>
                <w:sz w:val="21"/>
                <w:szCs w:val="21"/>
              </w:rPr>
            </w:pPr>
            <w:r>
              <w:rPr>
                <w:sz w:val="21"/>
                <w:szCs w:val="21"/>
              </w:rPr>
              <w:t>项目</w:t>
            </w:r>
          </w:p>
          <w:p w14:paraId="67563505">
            <w:pPr>
              <w:pStyle w:val="54"/>
              <w:ind w:left="0" w:leftChars="0" w:right="0" w:rightChars="0" w:firstLine="0" w:firstLineChars="0"/>
              <w:jc w:val="center"/>
              <w:rPr>
                <w:sz w:val="21"/>
                <w:szCs w:val="21"/>
              </w:rPr>
            </w:pPr>
            <w:r>
              <w:rPr>
                <w:sz w:val="21"/>
                <w:szCs w:val="21"/>
              </w:rPr>
              <w:t>分类</w:t>
            </w:r>
          </w:p>
        </w:tc>
        <w:tc>
          <w:tcPr>
            <w:tcW w:w="697" w:type="pct"/>
            <w:tcMar>
              <w:left w:w="28" w:type="dxa"/>
              <w:right w:w="28" w:type="dxa"/>
            </w:tcMar>
            <w:vAlign w:val="center"/>
          </w:tcPr>
          <w:p w14:paraId="674C6FD0">
            <w:pPr>
              <w:pStyle w:val="54"/>
              <w:ind w:left="0" w:leftChars="0" w:right="0" w:rightChars="0" w:firstLine="0" w:firstLineChars="0"/>
              <w:jc w:val="center"/>
              <w:rPr>
                <w:sz w:val="21"/>
                <w:szCs w:val="21"/>
              </w:rPr>
            </w:pPr>
            <w:r>
              <w:rPr>
                <w:sz w:val="21"/>
                <w:szCs w:val="21"/>
              </w:rPr>
              <w:t>污染物名称</w:t>
            </w:r>
          </w:p>
        </w:tc>
        <w:tc>
          <w:tcPr>
            <w:tcW w:w="462" w:type="pct"/>
            <w:tcMar>
              <w:left w:w="28" w:type="dxa"/>
              <w:right w:w="28" w:type="dxa"/>
            </w:tcMar>
            <w:vAlign w:val="center"/>
          </w:tcPr>
          <w:p w14:paraId="51E81259">
            <w:pPr>
              <w:pStyle w:val="54"/>
              <w:ind w:left="0" w:leftChars="0" w:right="0" w:rightChars="0" w:firstLine="0" w:firstLineChars="0"/>
              <w:jc w:val="center"/>
              <w:rPr>
                <w:sz w:val="21"/>
                <w:szCs w:val="21"/>
              </w:rPr>
            </w:pPr>
            <w:r>
              <w:rPr>
                <w:sz w:val="21"/>
                <w:szCs w:val="21"/>
              </w:rPr>
              <w:t>现有工程排放量（固体废物产生量）</w:t>
            </w:r>
            <w:r>
              <w:rPr>
                <w:sz w:val="21"/>
                <w:szCs w:val="21"/>
              </w:rPr>
              <w:fldChar w:fldCharType="begin"/>
            </w:r>
            <w:r>
              <w:rPr>
                <w:sz w:val="21"/>
                <w:szCs w:val="21"/>
              </w:rPr>
              <w:instrText xml:space="preserve"> = 1 \* GB3 \* MERGEFORMAT </w:instrText>
            </w:r>
            <w:r>
              <w:rPr>
                <w:sz w:val="21"/>
                <w:szCs w:val="21"/>
              </w:rPr>
              <w:fldChar w:fldCharType="separate"/>
            </w:r>
            <w:r>
              <w:rPr>
                <w:sz w:val="21"/>
                <w:szCs w:val="21"/>
              </w:rPr>
              <w:t>①</w:t>
            </w:r>
            <w:r>
              <w:rPr>
                <w:sz w:val="21"/>
                <w:szCs w:val="21"/>
              </w:rPr>
              <w:fldChar w:fldCharType="end"/>
            </w:r>
          </w:p>
        </w:tc>
        <w:tc>
          <w:tcPr>
            <w:tcW w:w="461" w:type="pct"/>
            <w:tcMar>
              <w:left w:w="28" w:type="dxa"/>
              <w:right w:w="28" w:type="dxa"/>
            </w:tcMar>
            <w:vAlign w:val="center"/>
          </w:tcPr>
          <w:p w14:paraId="09DFC57A">
            <w:pPr>
              <w:pStyle w:val="54"/>
              <w:ind w:left="0" w:leftChars="0" w:right="0" w:rightChars="0" w:firstLine="0" w:firstLineChars="0"/>
              <w:jc w:val="center"/>
              <w:rPr>
                <w:sz w:val="21"/>
                <w:szCs w:val="21"/>
              </w:rPr>
            </w:pPr>
            <w:r>
              <w:rPr>
                <w:sz w:val="21"/>
                <w:szCs w:val="21"/>
              </w:rPr>
              <w:t>现有工程许可排放量</w:t>
            </w:r>
          </w:p>
          <w:p w14:paraId="5A1E8D00">
            <w:pPr>
              <w:pStyle w:val="54"/>
              <w:ind w:left="0" w:leftChars="0" w:right="0" w:rightChars="0" w:firstLine="0" w:firstLineChars="0"/>
              <w:jc w:val="center"/>
              <w:rPr>
                <w:sz w:val="21"/>
                <w:szCs w:val="21"/>
              </w:rPr>
            </w:pPr>
            <w:r>
              <w:rPr>
                <w:sz w:val="21"/>
                <w:szCs w:val="21"/>
              </w:rPr>
              <w:fldChar w:fldCharType="begin"/>
            </w:r>
            <w:r>
              <w:rPr>
                <w:sz w:val="21"/>
                <w:szCs w:val="21"/>
              </w:rPr>
              <w:instrText xml:space="preserve"> = 2 \* GB3 \* MERGEFORMAT </w:instrText>
            </w:r>
            <w:r>
              <w:rPr>
                <w:sz w:val="21"/>
                <w:szCs w:val="21"/>
              </w:rPr>
              <w:fldChar w:fldCharType="separate"/>
            </w:r>
            <w:r>
              <w:rPr>
                <w:sz w:val="21"/>
                <w:szCs w:val="21"/>
              </w:rPr>
              <w:t>②</w:t>
            </w:r>
            <w:r>
              <w:rPr>
                <w:sz w:val="21"/>
                <w:szCs w:val="21"/>
              </w:rPr>
              <w:fldChar w:fldCharType="end"/>
            </w:r>
          </w:p>
        </w:tc>
        <w:tc>
          <w:tcPr>
            <w:tcW w:w="555" w:type="pct"/>
            <w:tcMar>
              <w:left w:w="28" w:type="dxa"/>
              <w:right w:w="28" w:type="dxa"/>
            </w:tcMar>
            <w:vAlign w:val="center"/>
          </w:tcPr>
          <w:p w14:paraId="7A6EA5CC">
            <w:pPr>
              <w:pStyle w:val="54"/>
              <w:ind w:left="0" w:leftChars="0" w:right="0" w:rightChars="0" w:firstLine="0" w:firstLineChars="0"/>
              <w:jc w:val="center"/>
              <w:rPr>
                <w:sz w:val="21"/>
                <w:szCs w:val="21"/>
              </w:rPr>
            </w:pPr>
            <w:r>
              <w:rPr>
                <w:sz w:val="21"/>
                <w:szCs w:val="21"/>
              </w:rPr>
              <w:t>在建工程</w:t>
            </w:r>
          </w:p>
          <w:p w14:paraId="0486FA20">
            <w:pPr>
              <w:pStyle w:val="54"/>
              <w:ind w:left="0" w:leftChars="0" w:right="0" w:rightChars="0" w:firstLine="0" w:firstLineChars="0"/>
              <w:jc w:val="center"/>
              <w:rPr>
                <w:sz w:val="21"/>
                <w:szCs w:val="21"/>
              </w:rPr>
            </w:pPr>
            <w:r>
              <w:rPr>
                <w:sz w:val="21"/>
                <w:szCs w:val="21"/>
              </w:rPr>
              <w:t>排放量（固体废物产生量）</w:t>
            </w:r>
            <w:r>
              <w:rPr>
                <w:sz w:val="21"/>
                <w:szCs w:val="21"/>
              </w:rPr>
              <w:fldChar w:fldCharType="begin"/>
            </w:r>
            <w:r>
              <w:rPr>
                <w:sz w:val="21"/>
                <w:szCs w:val="21"/>
              </w:rPr>
              <w:instrText xml:space="preserve"> = 3 \* GB3 \* MERGEFORMAT </w:instrText>
            </w:r>
            <w:r>
              <w:rPr>
                <w:sz w:val="21"/>
                <w:szCs w:val="21"/>
              </w:rPr>
              <w:fldChar w:fldCharType="separate"/>
            </w:r>
            <w:r>
              <w:rPr>
                <w:sz w:val="21"/>
                <w:szCs w:val="21"/>
              </w:rPr>
              <w:t>③</w:t>
            </w:r>
            <w:r>
              <w:rPr>
                <w:sz w:val="21"/>
                <w:szCs w:val="21"/>
              </w:rPr>
              <w:fldChar w:fldCharType="end"/>
            </w:r>
          </w:p>
        </w:tc>
        <w:tc>
          <w:tcPr>
            <w:tcW w:w="560" w:type="pct"/>
            <w:tcMar>
              <w:left w:w="28" w:type="dxa"/>
              <w:right w:w="28" w:type="dxa"/>
            </w:tcMar>
            <w:vAlign w:val="center"/>
          </w:tcPr>
          <w:p w14:paraId="49450CA1">
            <w:pPr>
              <w:pStyle w:val="54"/>
              <w:ind w:left="0" w:leftChars="0" w:right="0" w:rightChars="0" w:firstLine="0" w:firstLineChars="0"/>
              <w:jc w:val="center"/>
              <w:rPr>
                <w:sz w:val="21"/>
                <w:szCs w:val="21"/>
              </w:rPr>
            </w:pPr>
            <w:r>
              <w:rPr>
                <w:sz w:val="21"/>
                <w:szCs w:val="21"/>
              </w:rPr>
              <w:t>本项目排放量（固体废物产生量）</w:t>
            </w:r>
            <w:r>
              <w:rPr>
                <w:sz w:val="21"/>
                <w:szCs w:val="21"/>
              </w:rPr>
              <w:fldChar w:fldCharType="begin"/>
            </w:r>
            <w:r>
              <w:rPr>
                <w:sz w:val="21"/>
                <w:szCs w:val="21"/>
              </w:rPr>
              <w:instrText xml:space="preserve"> = 4 \* GB3 \* MERGEFORMAT </w:instrText>
            </w:r>
            <w:r>
              <w:rPr>
                <w:sz w:val="21"/>
                <w:szCs w:val="21"/>
              </w:rPr>
              <w:fldChar w:fldCharType="separate"/>
            </w:r>
            <w:r>
              <w:rPr>
                <w:sz w:val="21"/>
                <w:szCs w:val="21"/>
              </w:rPr>
              <w:t>④</w:t>
            </w:r>
            <w:r>
              <w:rPr>
                <w:sz w:val="21"/>
                <w:szCs w:val="21"/>
              </w:rPr>
              <w:fldChar w:fldCharType="end"/>
            </w:r>
          </w:p>
        </w:tc>
        <w:tc>
          <w:tcPr>
            <w:tcW w:w="582" w:type="pct"/>
            <w:tcMar>
              <w:left w:w="28" w:type="dxa"/>
              <w:right w:w="28" w:type="dxa"/>
            </w:tcMar>
            <w:vAlign w:val="center"/>
          </w:tcPr>
          <w:p w14:paraId="5B27E1F9">
            <w:pPr>
              <w:pStyle w:val="54"/>
              <w:ind w:left="0" w:leftChars="0" w:right="0" w:rightChars="0" w:firstLine="0" w:firstLineChars="0"/>
              <w:jc w:val="center"/>
              <w:rPr>
                <w:sz w:val="21"/>
                <w:szCs w:val="21"/>
              </w:rPr>
            </w:pPr>
            <w:r>
              <w:rPr>
                <w:sz w:val="21"/>
                <w:szCs w:val="21"/>
              </w:rPr>
              <w:t>以新带老削减量（新建项目不填）</w:t>
            </w:r>
            <w:r>
              <w:rPr>
                <w:sz w:val="21"/>
                <w:szCs w:val="21"/>
              </w:rPr>
              <w:fldChar w:fldCharType="begin"/>
            </w:r>
            <w:r>
              <w:rPr>
                <w:sz w:val="21"/>
                <w:szCs w:val="21"/>
              </w:rPr>
              <w:instrText xml:space="preserve"> = 5 \* GB3 \* MERGEFORMAT </w:instrText>
            </w:r>
            <w:r>
              <w:rPr>
                <w:sz w:val="21"/>
                <w:szCs w:val="21"/>
              </w:rPr>
              <w:fldChar w:fldCharType="separate"/>
            </w:r>
            <w:r>
              <w:rPr>
                <w:sz w:val="21"/>
                <w:szCs w:val="21"/>
              </w:rPr>
              <w:t>⑤</w:t>
            </w:r>
            <w:r>
              <w:rPr>
                <w:sz w:val="21"/>
                <w:szCs w:val="21"/>
              </w:rPr>
              <w:fldChar w:fldCharType="end"/>
            </w:r>
          </w:p>
        </w:tc>
        <w:tc>
          <w:tcPr>
            <w:tcW w:w="665" w:type="pct"/>
            <w:tcMar>
              <w:left w:w="28" w:type="dxa"/>
              <w:right w:w="28" w:type="dxa"/>
            </w:tcMar>
            <w:vAlign w:val="center"/>
          </w:tcPr>
          <w:p w14:paraId="189517C8">
            <w:pPr>
              <w:pStyle w:val="54"/>
              <w:ind w:left="0" w:leftChars="0" w:right="0" w:rightChars="0" w:firstLine="0" w:firstLineChars="0"/>
              <w:jc w:val="center"/>
              <w:rPr>
                <w:sz w:val="21"/>
                <w:szCs w:val="21"/>
              </w:rPr>
            </w:pPr>
            <w:r>
              <w:rPr>
                <w:sz w:val="21"/>
                <w:szCs w:val="21"/>
              </w:rPr>
              <w:t>本项目建成后全厂排放量（固体废物产生量）</w:t>
            </w:r>
            <w:r>
              <w:rPr>
                <w:sz w:val="21"/>
                <w:szCs w:val="21"/>
              </w:rPr>
              <w:fldChar w:fldCharType="begin"/>
            </w:r>
            <w:r>
              <w:rPr>
                <w:sz w:val="21"/>
                <w:szCs w:val="21"/>
              </w:rPr>
              <w:instrText xml:space="preserve"> = 6 \* GB3 \* MERGEFORMAT </w:instrText>
            </w:r>
            <w:r>
              <w:rPr>
                <w:sz w:val="21"/>
                <w:szCs w:val="21"/>
              </w:rPr>
              <w:fldChar w:fldCharType="separate"/>
            </w:r>
            <w:r>
              <w:rPr>
                <w:sz w:val="21"/>
                <w:szCs w:val="21"/>
              </w:rPr>
              <w:t>⑥</w:t>
            </w:r>
            <w:r>
              <w:rPr>
                <w:sz w:val="21"/>
                <w:szCs w:val="21"/>
              </w:rPr>
              <w:fldChar w:fldCharType="end"/>
            </w:r>
          </w:p>
        </w:tc>
        <w:tc>
          <w:tcPr>
            <w:tcW w:w="468" w:type="pct"/>
            <w:tcMar>
              <w:left w:w="28" w:type="dxa"/>
              <w:right w:w="28" w:type="dxa"/>
            </w:tcMar>
            <w:vAlign w:val="center"/>
          </w:tcPr>
          <w:p w14:paraId="4D3299BC">
            <w:pPr>
              <w:pStyle w:val="54"/>
              <w:ind w:left="0" w:leftChars="0" w:right="0" w:rightChars="0" w:firstLine="0" w:firstLineChars="0"/>
              <w:jc w:val="center"/>
              <w:rPr>
                <w:sz w:val="21"/>
                <w:szCs w:val="21"/>
              </w:rPr>
            </w:pPr>
            <w:r>
              <w:rPr>
                <w:sz w:val="21"/>
                <w:szCs w:val="21"/>
              </w:rPr>
              <w:t>变化量</w:t>
            </w:r>
          </w:p>
          <w:p w14:paraId="79592244">
            <w:pPr>
              <w:pStyle w:val="54"/>
              <w:ind w:left="0" w:leftChars="0" w:right="0" w:rightChars="0" w:firstLine="0" w:firstLineChars="0"/>
              <w:jc w:val="center"/>
              <w:rPr>
                <w:sz w:val="21"/>
                <w:szCs w:val="21"/>
              </w:rPr>
            </w:pPr>
            <w:r>
              <w:rPr>
                <w:sz w:val="21"/>
                <w:szCs w:val="21"/>
              </w:rPr>
              <w:fldChar w:fldCharType="begin"/>
            </w:r>
            <w:r>
              <w:rPr>
                <w:sz w:val="21"/>
                <w:szCs w:val="21"/>
              </w:rPr>
              <w:instrText xml:space="preserve"> = 7 \* GB3 \* MERGEFORMAT </w:instrText>
            </w:r>
            <w:r>
              <w:rPr>
                <w:sz w:val="21"/>
                <w:szCs w:val="21"/>
              </w:rPr>
              <w:fldChar w:fldCharType="separate"/>
            </w:r>
            <w:r>
              <w:rPr>
                <w:sz w:val="21"/>
                <w:szCs w:val="21"/>
              </w:rPr>
              <w:t>⑦</w:t>
            </w:r>
            <w:r>
              <w:rPr>
                <w:sz w:val="21"/>
                <w:szCs w:val="21"/>
              </w:rPr>
              <w:fldChar w:fldCharType="end"/>
            </w:r>
          </w:p>
        </w:tc>
      </w:tr>
      <w:tr w14:paraId="23F29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restart"/>
            <w:vAlign w:val="center"/>
          </w:tcPr>
          <w:p w14:paraId="5B4CE175">
            <w:pPr>
              <w:pStyle w:val="54"/>
              <w:ind w:left="0" w:leftChars="0" w:right="0" w:rightChars="0" w:firstLine="0" w:firstLineChars="0"/>
              <w:jc w:val="center"/>
              <w:rPr>
                <w:sz w:val="21"/>
                <w:szCs w:val="21"/>
              </w:rPr>
            </w:pPr>
            <w:r>
              <w:rPr>
                <w:sz w:val="21"/>
                <w:szCs w:val="21"/>
              </w:rPr>
              <w:t>废气</w:t>
            </w:r>
          </w:p>
        </w:tc>
        <w:tc>
          <w:tcPr>
            <w:tcW w:w="697" w:type="pct"/>
            <w:vAlign w:val="center"/>
          </w:tcPr>
          <w:p w14:paraId="361CC01C">
            <w:pPr>
              <w:pStyle w:val="38"/>
              <w:ind w:left="0" w:leftChars="0" w:right="0" w:rightChars="0" w:firstLine="0" w:firstLineChars="0"/>
              <w:jc w:val="center"/>
              <w:rPr>
                <w:sz w:val="21"/>
                <w:szCs w:val="21"/>
              </w:rPr>
            </w:pPr>
            <w:r>
              <w:rPr>
                <w:rFonts w:hint="eastAsia"/>
                <w:sz w:val="21"/>
                <w:szCs w:val="21"/>
                <w:lang w:val="en-US" w:eastAsia="zh-CN"/>
              </w:rPr>
              <w:t>氨</w:t>
            </w:r>
          </w:p>
        </w:tc>
        <w:tc>
          <w:tcPr>
            <w:tcW w:w="462" w:type="pct"/>
            <w:vAlign w:val="center"/>
          </w:tcPr>
          <w:p w14:paraId="71932CA8">
            <w:pPr>
              <w:pStyle w:val="54"/>
              <w:ind w:left="0" w:leftChars="0" w:right="0" w:rightChars="0" w:firstLine="0" w:firstLineChars="0"/>
              <w:jc w:val="center"/>
              <w:rPr>
                <w:sz w:val="21"/>
                <w:szCs w:val="21"/>
              </w:rPr>
            </w:pPr>
          </w:p>
        </w:tc>
        <w:tc>
          <w:tcPr>
            <w:tcW w:w="461" w:type="pct"/>
            <w:vAlign w:val="center"/>
          </w:tcPr>
          <w:p w14:paraId="6BE4F1BD">
            <w:pPr>
              <w:pStyle w:val="54"/>
              <w:ind w:left="0" w:leftChars="0" w:right="0" w:rightChars="0" w:firstLine="0" w:firstLineChars="0"/>
              <w:jc w:val="center"/>
              <w:rPr>
                <w:sz w:val="21"/>
                <w:szCs w:val="21"/>
              </w:rPr>
            </w:pPr>
          </w:p>
        </w:tc>
        <w:tc>
          <w:tcPr>
            <w:tcW w:w="555" w:type="pct"/>
            <w:vAlign w:val="center"/>
          </w:tcPr>
          <w:p w14:paraId="730ABB14">
            <w:pPr>
              <w:pStyle w:val="54"/>
              <w:ind w:left="0" w:leftChars="0" w:right="0" w:rightChars="0" w:firstLine="0" w:firstLineChars="0"/>
              <w:jc w:val="center"/>
              <w:rPr>
                <w:sz w:val="21"/>
                <w:szCs w:val="21"/>
              </w:rPr>
            </w:pPr>
          </w:p>
        </w:tc>
        <w:tc>
          <w:tcPr>
            <w:tcW w:w="560" w:type="pct"/>
            <w:vAlign w:val="center"/>
          </w:tcPr>
          <w:p w14:paraId="5D18D51A">
            <w:pPr>
              <w:pStyle w:val="38"/>
              <w:bidi w:val="0"/>
              <w:ind w:left="0" w:leftChars="0" w:right="0" w:rightChars="0" w:firstLine="0" w:firstLineChars="0"/>
              <w:jc w:val="center"/>
            </w:pPr>
            <w:r>
              <w:rPr>
                <w:rFonts w:hint="eastAsia"/>
                <w:lang w:val="en-US" w:eastAsia="zh-CN"/>
              </w:rPr>
              <w:t>0.194</w:t>
            </w:r>
          </w:p>
        </w:tc>
        <w:tc>
          <w:tcPr>
            <w:tcW w:w="582" w:type="pct"/>
            <w:vAlign w:val="center"/>
          </w:tcPr>
          <w:p w14:paraId="227928AC">
            <w:pPr>
              <w:pStyle w:val="54"/>
              <w:ind w:left="0" w:leftChars="0" w:right="0" w:rightChars="0" w:firstLine="0" w:firstLineChars="0"/>
              <w:jc w:val="center"/>
              <w:rPr>
                <w:sz w:val="21"/>
                <w:szCs w:val="21"/>
              </w:rPr>
            </w:pPr>
          </w:p>
        </w:tc>
        <w:tc>
          <w:tcPr>
            <w:tcW w:w="665" w:type="pct"/>
            <w:vAlign w:val="center"/>
          </w:tcPr>
          <w:p w14:paraId="23BE0B51">
            <w:pPr>
              <w:pStyle w:val="54"/>
              <w:ind w:left="0" w:leftChars="0" w:right="0" w:rightChars="0" w:firstLine="0" w:firstLineChars="0"/>
              <w:jc w:val="center"/>
              <w:rPr>
                <w:sz w:val="21"/>
                <w:szCs w:val="21"/>
              </w:rPr>
            </w:pPr>
          </w:p>
        </w:tc>
        <w:tc>
          <w:tcPr>
            <w:tcW w:w="468" w:type="pct"/>
            <w:vAlign w:val="center"/>
          </w:tcPr>
          <w:p w14:paraId="035A2A75">
            <w:pPr>
              <w:pStyle w:val="38"/>
              <w:bidi w:val="0"/>
              <w:ind w:left="0" w:leftChars="0" w:right="0" w:rightChars="0" w:firstLine="0" w:firstLineChars="0"/>
              <w:jc w:val="center"/>
              <w:rPr>
                <w:rFonts w:ascii="Times New Roman" w:hAnsi="Times New Roman" w:eastAsia="宋体" w:cs="Times New Roman"/>
                <w:kern w:val="2"/>
                <w:sz w:val="21"/>
                <w:szCs w:val="21"/>
                <w:lang w:val="en-US" w:eastAsia="zh-CN" w:bidi="ar-SA"/>
              </w:rPr>
            </w:pPr>
            <w:r>
              <w:rPr>
                <w:rFonts w:hint="eastAsia"/>
                <w:lang w:val="en-US" w:eastAsia="zh-CN"/>
              </w:rPr>
              <w:t>0.194</w:t>
            </w:r>
          </w:p>
        </w:tc>
      </w:tr>
      <w:tr w14:paraId="34193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61DD8AA6">
            <w:pPr>
              <w:pStyle w:val="54"/>
              <w:ind w:left="0" w:leftChars="0" w:right="0" w:rightChars="0" w:firstLine="0" w:firstLineChars="0"/>
              <w:jc w:val="center"/>
              <w:rPr>
                <w:sz w:val="21"/>
                <w:szCs w:val="21"/>
              </w:rPr>
            </w:pPr>
          </w:p>
        </w:tc>
        <w:tc>
          <w:tcPr>
            <w:tcW w:w="697" w:type="pct"/>
            <w:vAlign w:val="center"/>
          </w:tcPr>
          <w:p w14:paraId="7147A0AE">
            <w:pPr>
              <w:pStyle w:val="38"/>
              <w:ind w:left="0" w:leftChars="0" w:right="0" w:rightChars="0" w:firstLine="0" w:firstLineChars="0"/>
              <w:jc w:val="center"/>
              <w:rPr>
                <w:sz w:val="21"/>
                <w:szCs w:val="21"/>
              </w:rPr>
            </w:pPr>
            <w:r>
              <w:rPr>
                <w:rFonts w:hint="eastAsia"/>
                <w:sz w:val="21"/>
                <w:szCs w:val="21"/>
                <w:lang w:val="en-US" w:eastAsia="zh-CN"/>
              </w:rPr>
              <w:t>硫化氢</w:t>
            </w:r>
          </w:p>
        </w:tc>
        <w:tc>
          <w:tcPr>
            <w:tcW w:w="462" w:type="pct"/>
            <w:vAlign w:val="center"/>
          </w:tcPr>
          <w:p w14:paraId="46EA4702">
            <w:pPr>
              <w:pStyle w:val="54"/>
              <w:ind w:left="0" w:leftChars="0" w:right="0" w:rightChars="0" w:firstLine="0" w:firstLineChars="0"/>
              <w:jc w:val="center"/>
              <w:rPr>
                <w:sz w:val="21"/>
                <w:szCs w:val="21"/>
              </w:rPr>
            </w:pPr>
          </w:p>
        </w:tc>
        <w:tc>
          <w:tcPr>
            <w:tcW w:w="461" w:type="pct"/>
            <w:vAlign w:val="center"/>
          </w:tcPr>
          <w:p w14:paraId="0511239A">
            <w:pPr>
              <w:pStyle w:val="54"/>
              <w:ind w:left="0" w:leftChars="0" w:right="0" w:rightChars="0" w:firstLine="0" w:firstLineChars="0"/>
              <w:jc w:val="center"/>
              <w:rPr>
                <w:sz w:val="21"/>
                <w:szCs w:val="21"/>
              </w:rPr>
            </w:pPr>
          </w:p>
        </w:tc>
        <w:tc>
          <w:tcPr>
            <w:tcW w:w="555" w:type="pct"/>
            <w:vAlign w:val="center"/>
          </w:tcPr>
          <w:p w14:paraId="7B6215E1">
            <w:pPr>
              <w:pStyle w:val="54"/>
              <w:ind w:left="0" w:leftChars="0" w:right="0" w:rightChars="0" w:firstLine="0" w:firstLineChars="0"/>
              <w:jc w:val="center"/>
              <w:rPr>
                <w:sz w:val="21"/>
                <w:szCs w:val="21"/>
              </w:rPr>
            </w:pPr>
          </w:p>
        </w:tc>
        <w:tc>
          <w:tcPr>
            <w:tcW w:w="560" w:type="pct"/>
            <w:vAlign w:val="center"/>
          </w:tcPr>
          <w:p w14:paraId="16001008">
            <w:pPr>
              <w:pStyle w:val="38"/>
              <w:bidi w:val="0"/>
              <w:ind w:left="0" w:leftChars="0" w:right="0" w:rightChars="0" w:firstLine="0" w:firstLineChars="0"/>
              <w:jc w:val="center"/>
            </w:pPr>
            <w:r>
              <w:rPr>
                <w:rFonts w:hint="eastAsia"/>
                <w:lang w:val="en-US" w:eastAsia="zh-CN"/>
              </w:rPr>
              <w:t>0.002</w:t>
            </w:r>
          </w:p>
        </w:tc>
        <w:tc>
          <w:tcPr>
            <w:tcW w:w="582" w:type="pct"/>
            <w:vAlign w:val="center"/>
          </w:tcPr>
          <w:p w14:paraId="3264BE1F">
            <w:pPr>
              <w:pStyle w:val="54"/>
              <w:ind w:left="0" w:leftChars="0" w:right="0" w:rightChars="0" w:firstLine="0" w:firstLineChars="0"/>
              <w:jc w:val="center"/>
              <w:rPr>
                <w:sz w:val="21"/>
                <w:szCs w:val="21"/>
              </w:rPr>
            </w:pPr>
          </w:p>
        </w:tc>
        <w:tc>
          <w:tcPr>
            <w:tcW w:w="665" w:type="pct"/>
            <w:vAlign w:val="center"/>
          </w:tcPr>
          <w:p w14:paraId="30875C20">
            <w:pPr>
              <w:pStyle w:val="54"/>
              <w:ind w:left="0" w:leftChars="0" w:right="0" w:rightChars="0" w:firstLine="0" w:firstLineChars="0"/>
              <w:jc w:val="center"/>
              <w:rPr>
                <w:sz w:val="21"/>
                <w:szCs w:val="21"/>
              </w:rPr>
            </w:pPr>
          </w:p>
        </w:tc>
        <w:tc>
          <w:tcPr>
            <w:tcW w:w="468" w:type="pct"/>
            <w:vAlign w:val="center"/>
          </w:tcPr>
          <w:p w14:paraId="2CC28CD2">
            <w:pPr>
              <w:pStyle w:val="38"/>
              <w:bidi w:val="0"/>
              <w:ind w:left="0" w:leftChars="0" w:right="0" w:rightChars="0" w:firstLine="0" w:firstLineChars="0"/>
              <w:jc w:val="center"/>
              <w:rPr>
                <w:rFonts w:ascii="Times New Roman" w:hAnsi="Times New Roman" w:eastAsia="宋体" w:cs="Times New Roman"/>
                <w:kern w:val="2"/>
                <w:sz w:val="21"/>
                <w:szCs w:val="21"/>
                <w:lang w:val="en-US" w:eastAsia="zh-CN" w:bidi="ar-SA"/>
              </w:rPr>
            </w:pPr>
            <w:r>
              <w:rPr>
                <w:rFonts w:hint="eastAsia"/>
                <w:lang w:val="en-US" w:eastAsia="zh-CN"/>
              </w:rPr>
              <w:t>0.002</w:t>
            </w:r>
          </w:p>
        </w:tc>
      </w:tr>
      <w:tr w14:paraId="7DDFB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restart"/>
            <w:vAlign w:val="center"/>
          </w:tcPr>
          <w:p w14:paraId="255381A2">
            <w:pPr>
              <w:pStyle w:val="54"/>
              <w:ind w:left="0" w:leftChars="0" w:right="0" w:rightChars="0" w:firstLine="0" w:firstLineChars="0"/>
              <w:jc w:val="center"/>
              <w:rPr>
                <w:sz w:val="21"/>
                <w:szCs w:val="21"/>
              </w:rPr>
            </w:pPr>
            <w:r>
              <w:rPr>
                <w:sz w:val="21"/>
                <w:szCs w:val="21"/>
              </w:rPr>
              <w:t>废水</w:t>
            </w:r>
          </w:p>
        </w:tc>
        <w:tc>
          <w:tcPr>
            <w:tcW w:w="697" w:type="pct"/>
            <w:vAlign w:val="center"/>
          </w:tcPr>
          <w:p w14:paraId="61E0AEF6">
            <w:pPr>
              <w:pStyle w:val="84"/>
              <w:numPr>
                <w:ilvl w:val="6"/>
                <w:numId w:val="0"/>
              </w:numPr>
              <w:ind w:left="0" w:leftChars="0" w:right="0" w:rightChars="0" w:firstLine="0" w:firstLineChars="0"/>
              <w:jc w:val="center"/>
              <w:rPr>
                <w:sz w:val="21"/>
                <w:szCs w:val="21"/>
              </w:rPr>
            </w:pPr>
            <w:r>
              <w:rPr>
                <w:rFonts w:ascii="Times New Roman" w:hAnsi="Times New Roman"/>
                <w:snapToGrid w:val="0"/>
                <w:color w:val="000000"/>
                <w:kern w:val="21"/>
                <w:sz w:val="21"/>
                <w:szCs w:val="21"/>
              </w:rPr>
              <w:t>废水量</w:t>
            </w:r>
            <w:r>
              <w:rPr>
                <w:rFonts w:hint="eastAsia" w:ascii="Times New Roman" w:hAnsi="Times New Roman"/>
                <w:snapToGrid w:val="0"/>
                <w:color w:val="000000"/>
                <w:kern w:val="21"/>
                <w:sz w:val="21"/>
                <w:szCs w:val="21"/>
                <w:lang w:eastAsia="zh-CN"/>
              </w:rPr>
              <w:t>（</w:t>
            </w:r>
            <w:r>
              <w:rPr>
                <w:rFonts w:hint="eastAsia" w:ascii="Times New Roman" w:hAnsi="Times New Roman"/>
                <w:snapToGrid w:val="0"/>
                <w:color w:val="000000"/>
                <w:kern w:val="21"/>
                <w:sz w:val="21"/>
                <w:szCs w:val="21"/>
                <w:lang w:val="en-US" w:eastAsia="zh-CN"/>
              </w:rPr>
              <w:t>万吨）</w:t>
            </w:r>
          </w:p>
        </w:tc>
        <w:tc>
          <w:tcPr>
            <w:tcW w:w="462" w:type="pct"/>
            <w:vAlign w:val="center"/>
          </w:tcPr>
          <w:p w14:paraId="0743502B">
            <w:pPr>
              <w:pStyle w:val="54"/>
              <w:ind w:left="0" w:leftChars="0" w:right="0" w:rightChars="0" w:firstLine="0" w:firstLineChars="0"/>
              <w:jc w:val="center"/>
              <w:rPr>
                <w:sz w:val="21"/>
                <w:szCs w:val="21"/>
              </w:rPr>
            </w:pPr>
          </w:p>
        </w:tc>
        <w:tc>
          <w:tcPr>
            <w:tcW w:w="461" w:type="pct"/>
            <w:vAlign w:val="center"/>
          </w:tcPr>
          <w:p w14:paraId="02EE34A4">
            <w:pPr>
              <w:pStyle w:val="54"/>
              <w:ind w:left="0" w:leftChars="0" w:right="0" w:rightChars="0" w:firstLine="0" w:firstLineChars="0"/>
              <w:jc w:val="center"/>
              <w:rPr>
                <w:sz w:val="21"/>
                <w:szCs w:val="21"/>
              </w:rPr>
            </w:pPr>
          </w:p>
        </w:tc>
        <w:tc>
          <w:tcPr>
            <w:tcW w:w="555" w:type="pct"/>
            <w:vAlign w:val="center"/>
          </w:tcPr>
          <w:p w14:paraId="5D9931AC">
            <w:pPr>
              <w:pStyle w:val="54"/>
              <w:ind w:left="0" w:leftChars="0" w:right="0" w:rightChars="0" w:firstLine="0" w:firstLineChars="0"/>
              <w:jc w:val="center"/>
              <w:rPr>
                <w:sz w:val="21"/>
                <w:szCs w:val="21"/>
              </w:rPr>
            </w:pPr>
          </w:p>
        </w:tc>
        <w:tc>
          <w:tcPr>
            <w:tcW w:w="560" w:type="pct"/>
            <w:vAlign w:val="center"/>
          </w:tcPr>
          <w:p w14:paraId="5C955DDE">
            <w:pPr>
              <w:pStyle w:val="54"/>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18.25</w:t>
            </w:r>
          </w:p>
        </w:tc>
        <w:tc>
          <w:tcPr>
            <w:tcW w:w="582" w:type="pct"/>
            <w:vAlign w:val="center"/>
          </w:tcPr>
          <w:p w14:paraId="4A5A3166">
            <w:pPr>
              <w:pStyle w:val="54"/>
              <w:ind w:left="0" w:leftChars="0" w:right="0" w:rightChars="0" w:firstLine="0" w:firstLineChars="0"/>
              <w:jc w:val="center"/>
              <w:rPr>
                <w:sz w:val="21"/>
                <w:szCs w:val="21"/>
              </w:rPr>
            </w:pPr>
          </w:p>
        </w:tc>
        <w:tc>
          <w:tcPr>
            <w:tcW w:w="665" w:type="pct"/>
            <w:vAlign w:val="center"/>
          </w:tcPr>
          <w:p w14:paraId="6ED35DDC">
            <w:pPr>
              <w:pStyle w:val="54"/>
              <w:ind w:left="0" w:leftChars="0" w:right="0" w:rightChars="0" w:firstLine="0" w:firstLineChars="0"/>
              <w:jc w:val="center"/>
              <w:rPr>
                <w:sz w:val="21"/>
                <w:szCs w:val="21"/>
              </w:rPr>
            </w:pPr>
          </w:p>
        </w:tc>
        <w:tc>
          <w:tcPr>
            <w:tcW w:w="468" w:type="pct"/>
            <w:vAlign w:val="center"/>
          </w:tcPr>
          <w:p w14:paraId="234703B1">
            <w:pPr>
              <w:pStyle w:val="54"/>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18.25</w:t>
            </w:r>
          </w:p>
        </w:tc>
      </w:tr>
      <w:tr w14:paraId="3F6B9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572293A0">
            <w:pPr>
              <w:pStyle w:val="54"/>
              <w:ind w:left="0" w:leftChars="0" w:right="0" w:rightChars="0" w:firstLine="0" w:firstLineChars="0"/>
              <w:jc w:val="center"/>
              <w:rPr>
                <w:sz w:val="21"/>
                <w:szCs w:val="21"/>
              </w:rPr>
            </w:pPr>
          </w:p>
        </w:tc>
        <w:tc>
          <w:tcPr>
            <w:tcW w:w="697" w:type="pct"/>
            <w:vAlign w:val="center"/>
          </w:tcPr>
          <w:p w14:paraId="054E9E7C">
            <w:pPr>
              <w:pStyle w:val="38"/>
              <w:ind w:left="0" w:leftChars="0" w:right="0" w:rightChars="0" w:firstLine="0" w:firstLineChars="0"/>
              <w:jc w:val="center"/>
              <w:rPr>
                <w:sz w:val="21"/>
                <w:szCs w:val="21"/>
              </w:rPr>
            </w:pPr>
            <w:r>
              <w:rPr>
                <w:rFonts w:hint="default"/>
              </w:rPr>
              <w:t>COD</w:t>
            </w:r>
            <w:r>
              <w:rPr>
                <w:rFonts w:hint="default"/>
                <w:vertAlign w:val="subscript"/>
              </w:rPr>
              <w:t>Cr</w:t>
            </w:r>
          </w:p>
        </w:tc>
        <w:tc>
          <w:tcPr>
            <w:tcW w:w="462" w:type="pct"/>
            <w:vAlign w:val="center"/>
          </w:tcPr>
          <w:p w14:paraId="069A6802">
            <w:pPr>
              <w:pStyle w:val="54"/>
              <w:ind w:left="0" w:leftChars="0" w:right="0" w:rightChars="0" w:firstLine="0" w:firstLineChars="0"/>
              <w:jc w:val="center"/>
              <w:rPr>
                <w:sz w:val="21"/>
                <w:szCs w:val="21"/>
              </w:rPr>
            </w:pPr>
          </w:p>
        </w:tc>
        <w:tc>
          <w:tcPr>
            <w:tcW w:w="461" w:type="pct"/>
            <w:vAlign w:val="center"/>
          </w:tcPr>
          <w:p w14:paraId="5BBC2705">
            <w:pPr>
              <w:pStyle w:val="54"/>
              <w:ind w:left="0" w:leftChars="0" w:right="0" w:rightChars="0" w:firstLine="0" w:firstLineChars="0"/>
              <w:jc w:val="center"/>
              <w:rPr>
                <w:sz w:val="21"/>
                <w:szCs w:val="21"/>
              </w:rPr>
            </w:pPr>
          </w:p>
        </w:tc>
        <w:tc>
          <w:tcPr>
            <w:tcW w:w="555" w:type="pct"/>
            <w:vAlign w:val="center"/>
          </w:tcPr>
          <w:p w14:paraId="36D1A86A">
            <w:pPr>
              <w:pStyle w:val="54"/>
              <w:ind w:left="0" w:leftChars="0" w:right="0" w:rightChars="0" w:firstLine="0" w:firstLineChars="0"/>
              <w:jc w:val="center"/>
              <w:rPr>
                <w:sz w:val="21"/>
                <w:szCs w:val="21"/>
              </w:rPr>
            </w:pPr>
          </w:p>
        </w:tc>
        <w:tc>
          <w:tcPr>
            <w:tcW w:w="560" w:type="pct"/>
            <w:vAlign w:val="center"/>
          </w:tcPr>
          <w:p w14:paraId="3E6DFB14">
            <w:pPr>
              <w:pStyle w:val="38"/>
              <w:bidi w:val="0"/>
            </w:pPr>
            <w:r>
              <w:rPr>
                <w:rFonts w:hint="default"/>
                <w:lang w:val="en-US" w:eastAsia="zh-CN"/>
              </w:rPr>
              <w:t>9.125</w:t>
            </w:r>
          </w:p>
        </w:tc>
        <w:tc>
          <w:tcPr>
            <w:tcW w:w="582" w:type="pct"/>
            <w:vAlign w:val="center"/>
          </w:tcPr>
          <w:p w14:paraId="6E4C0055">
            <w:pPr>
              <w:pStyle w:val="54"/>
              <w:ind w:left="0" w:leftChars="0" w:right="0" w:rightChars="0" w:firstLine="0" w:firstLineChars="0"/>
              <w:jc w:val="center"/>
              <w:rPr>
                <w:sz w:val="21"/>
                <w:szCs w:val="21"/>
              </w:rPr>
            </w:pPr>
          </w:p>
        </w:tc>
        <w:tc>
          <w:tcPr>
            <w:tcW w:w="665" w:type="pct"/>
            <w:vAlign w:val="center"/>
          </w:tcPr>
          <w:p w14:paraId="60B79390">
            <w:pPr>
              <w:widowControl/>
              <w:snapToGrid w:val="0"/>
              <w:spacing w:line="240" w:lineRule="atLeast"/>
              <w:ind w:left="0" w:leftChars="0" w:right="0" w:rightChars="0" w:firstLine="0" w:firstLineChars="0"/>
              <w:jc w:val="center"/>
              <w:textAlignment w:val="top"/>
              <w:rPr>
                <w:sz w:val="21"/>
                <w:szCs w:val="21"/>
              </w:rPr>
            </w:pPr>
          </w:p>
        </w:tc>
        <w:tc>
          <w:tcPr>
            <w:tcW w:w="468" w:type="pct"/>
            <w:vAlign w:val="center"/>
          </w:tcPr>
          <w:p w14:paraId="7A35BE69">
            <w:pPr>
              <w:pStyle w:val="38"/>
              <w:bidi w:val="0"/>
              <w:rPr>
                <w:rFonts w:ascii="Times New Roman" w:hAnsi="Times New Roman" w:eastAsia="宋体" w:cs="Times New Roman"/>
                <w:kern w:val="2"/>
                <w:sz w:val="21"/>
                <w:szCs w:val="21"/>
                <w:lang w:val="en-US" w:eastAsia="zh-CN" w:bidi="ar-SA"/>
              </w:rPr>
            </w:pPr>
            <w:r>
              <w:rPr>
                <w:rFonts w:hint="default"/>
                <w:lang w:val="en-US" w:eastAsia="zh-CN"/>
              </w:rPr>
              <w:t>9.125</w:t>
            </w:r>
          </w:p>
        </w:tc>
      </w:tr>
      <w:tr w14:paraId="55E10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2C648BCA">
            <w:pPr>
              <w:pStyle w:val="54"/>
              <w:ind w:left="0" w:leftChars="0" w:right="0" w:rightChars="0" w:firstLine="0" w:firstLineChars="0"/>
              <w:jc w:val="center"/>
              <w:rPr>
                <w:sz w:val="21"/>
                <w:szCs w:val="21"/>
              </w:rPr>
            </w:pPr>
          </w:p>
        </w:tc>
        <w:tc>
          <w:tcPr>
            <w:tcW w:w="697" w:type="pct"/>
            <w:vAlign w:val="center"/>
          </w:tcPr>
          <w:p w14:paraId="5C942396">
            <w:pPr>
              <w:pStyle w:val="38"/>
              <w:ind w:left="0" w:leftChars="0" w:right="0" w:rightChars="0" w:firstLine="0" w:firstLineChars="0"/>
              <w:jc w:val="center"/>
              <w:rPr>
                <w:sz w:val="21"/>
                <w:szCs w:val="21"/>
              </w:rPr>
            </w:pPr>
            <w:r>
              <w:rPr>
                <w:rFonts w:hint="default"/>
              </w:rPr>
              <w:t>BOD</w:t>
            </w:r>
            <w:r>
              <w:rPr>
                <w:rFonts w:hint="default"/>
                <w:vertAlign w:val="subscript"/>
              </w:rPr>
              <w:t>5</w:t>
            </w:r>
          </w:p>
        </w:tc>
        <w:tc>
          <w:tcPr>
            <w:tcW w:w="462" w:type="pct"/>
            <w:vAlign w:val="center"/>
          </w:tcPr>
          <w:p w14:paraId="2B82E2C0">
            <w:pPr>
              <w:pStyle w:val="54"/>
              <w:ind w:left="0" w:leftChars="0" w:right="0" w:rightChars="0" w:firstLine="0" w:firstLineChars="0"/>
              <w:jc w:val="center"/>
              <w:rPr>
                <w:sz w:val="21"/>
                <w:szCs w:val="21"/>
              </w:rPr>
            </w:pPr>
          </w:p>
        </w:tc>
        <w:tc>
          <w:tcPr>
            <w:tcW w:w="461" w:type="pct"/>
            <w:vAlign w:val="center"/>
          </w:tcPr>
          <w:p w14:paraId="4B58AF05">
            <w:pPr>
              <w:pStyle w:val="54"/>
              <w:ind w:left="0" w:leftChars="0" w:right="0" w:rightChars="0" w:firstLine="0" w:firstLineChars="0"/>
              <w:jc w:val="center"/>
              <w:rPr>
                <w:sz w:val="21"/>
                <w:szCs w:val="21"/>
              </w:rPr>
            </w:pPr>
          </w:p>
        </w:tc>
        <w:tc>
          <w:tcPr>
            <w:tcW w:w="555" w:type="pct"/>
            <w:vAlign w:val="center"/>
          </w:tcPr>
          <w:p w14:paraId="68638193">
            <w:pPr>
              <w:pStyle w:val="54"/>
              <w:ind w:left="0" w:leftChars="0" w:right="0" w:rightChars="0" w:firstLine="0" w:firstLineChars="0"/>
              <w:jc w:val="center"/>
              <w:rPr>
                <w:sz w:val="21"/>
                <w:szCs w:val="21"/>
              </w:rPr>
            </w:pPr>
          </w:p>
        </w:tc>
        <w:tc>
          <w:tcPr>
            <w:tcW w:w="560" w:type="pct"/>
            <w:vAlign w:val="center"/>
          </w:tcPr>
          <w:p w14:paraId="1BCA9279">
            <w:pPr>
              <w:pStyle w:val="38"/>
              <w:bidi w:val="0"/>
            </w:pPr>
            <w:r>
              <w:rPr>
                <w:rFonts w:hint="default"/>
                <w:lang w:val="en-US" w:eastAsia="zh-CN"/>
              </w:rPr>
              <w:t>1.825</w:t>
            </w:r>
          </w:p>
        </w:tc>
        <w:tc>
          <w:tcPr>
            <w:tcW w:w="582" w:type="pct"/>
            <w:vAlign w:val="center"/>
          </w:tcPr>
          <w:p w14:paraId="636E1772">
            <w:pPr>
              <w:pStyle w:val="54"/>
              <w:ind w:left="0" w:leftChars="0" w:right="0" w:rightChars="0" w:firstLine="0" w:firstLineChars="0"/>
              <w:jc w:val="center"/>
              <w:rPr>
                <w:sz w:val="21"/>
                <w:szCs w:val="21"/>
              </w:rPr>
            </w:pPr>
          </w:p>
        </w:tc>
        <w:tc>
          <w:tcPr>
            <w:tcW w:w="665" w:type="pct"/>
            <w:vAlign w:val="center"/>
          </w:tcPr>
          <w:p w14:paraId="3157C116">
            <w:pPr>
              <w:widowControl/>
              <w:snapToGrid w:val="0"/>
              <w:spacing w:line="240" w:lineRule="atLeast"/>
              <w:ind w:left="0" w:leftChars="0" w:right="0" w:rightChars="0" w:firstLine="0" w:firstLineChars="0"/>
              <w:jc w:val="center"/>
              <w:textAlignment w:val="top"/>
              <w:rPr>
                <w:sz w:val="21"/>
                <w:szCs w:val="21"/>
              </w:rPr>
            </w:pPr>
          </w:p>
        </w:tc>
        <w:tc>
          <w:tcPr>
            <w:tcW w:w="468" w:type="pct"/>
            <w:vAlign w:val="center"/>
          </w:tcPr>
          <w:p w14:paraId="526A124F">
            <w:pPr>
              <w:pStyle w:val="38"/>
              <w:bidi w:val="0"/>
              <w:rPr>
                <w:rFonts w:ascii="Times New Roman" w:hAnsi="Times New Roman" w:eastAsia="宋体" w:cs="Times New Roman"/>
                <w:kern w:val="2"/>
                <w:sz w:val="21"/>
                <w:szCs w:val="21"/>
                <w:lang w:val="en-US" w:eastAsia="zh-CN" w:bidi="ar-SA"/>
              </w:rPr>
            </w:pPr>
            <w:r>
              <w:rPr>
                <w:rFonts w:hint="default"/>
                <w:lang w:val="en-US" w:eastAsia="zh-CN"/>
              </w:rPr>
              <w:t>1.825</w:t>
            </w:r>
          </w:p>
        </w:tc>
      </w:tr>
      <w:tr w14:paraId="3F5A9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0029C3BC">
            <w:pPr>
              <w:pStyle w:val="54"/>
              <w:ind w:left="0" w:leftChars="0" w:right="0" w:rightChars="0" w:firstLine="0" w:firstLineChars="0"/>
              <w:jc w:val="center"/>
              <w:rPr>
                <w:sz w:val="21"/>
                <w:szCs w:val="21"/>
              </w:rPr>
            </w:pPr>
          </w:p>
        </w:tc>
        <w:tc>
          <w:tcPr>
            <w:tcW w:w="697" w:type="pct"/>
            <w:vAlign w:val="center"/>
          </w:tcPr>
          <w:p w14:paraId="61257320">
            <w:pPr>
              <w:pStyle w:val="38"/>
              <w:ind w:left="0" w:leftChars="0" w:right="0" w:rightChars="0" w:firstLine="0" w:firstLineChars="0"/>
              <w:jc w:val="center"/>
              <w:rPr>
                <w:sz w:val="21"/>
                <w:szCs w:val="21"/>
              </w:rPr>
            </w:pPr>
            <w:r>
              <w:rPr>
                <w:sz w:val="21"/>
                <w:szCs w:val="21"/>
              </w:rPr>
              <w:t>SS</w:t>
            </w:r>
          </w:p>
        </w:tc>
        <w:tc>
          <w:tcPr>
            <w:tcW w:w="462" w:type="pct"/>
            <w:vAlign w:val="center"/>
          </w:tcPr>
          <w:p w14:paraId="1ED07A4D">
            <w:pPr>
              <w:pStyle w:val="54"/>
              <w:ind w:left="0" w:leftChars="0" w:right="0" w:rightChars="0" w:firstLine="0" w:firstLineChars="0"/>
              <w:jc w:val="center"/>
              <w:rPr>
                <w:sz w:val="21"/>
                <w:szCs w:val="21"/>
              </w:rPr>
            </w:pPr>
          </w:p>
        </w:tc>
        <w:tc>
          <w:tcPr>
            <w:tcW w:w="461" w:type="pct"/>
            <w:vAlign w:val="center"/>
          </w:tcPr>
          <w:p w14:paraId="4903F5D4">
            <w:pPr>
              <w:pStyle w:val="54"/>
              <w:ind w:left="0" w:leftChars="0" w:right="0" w:rightChars="0" w:firstLine="0" w:firstLineChars="0"/>
              <w:jc w:val="center"/>
              <w:rPr>
                <w:sz w:val="21"/>
                <w:szCs w:val="21"/>
              </w:rPr>
            </w:pPr>
          </w:p>
        </w:tc>
        <w:tc>
          <w:tcPr>
            <w:tcW w:w="555" w:type="pct"/>
            <w:vAlign w:val="center"/>
          </w:tcPr>
          <w:p w14:paraId="6F197ABD">
            <w:pPr>
              <w:pStyle w:val="54"/>
              <w:ind w:left="0" w:leftChars="0" w:right="0" w:rightChars="0" w:firstLine="0" w:firstLineChars="0"/>
              <w:jc w:val="center"/>
              <w:rPr>
                <w:sz w:val="21"/>
                <w:szCs w:val="21"/>
              </w:rPr>
            </w:pPr>
          </w:p>
        </w:tc>
        <w:tc>
          <w:tcPr>
            <w:tcW w:w="560" w:type="pct"/>
            <w:vAlign w:val="center"/>
          </w:tcPr>
          <w:p w14:paraId="70407745">
            <w:pPr>
              <w:pStyle w:val="38"/>
              <w:bidi w:val="0"/>
            </w:pPr>
            <w:r>
              <w:rPr>
                <w:rFonts w:hint="default"/>
                <w:lang w:val="en-US" w:eastAsia="zh-CN"/>
              </w:rPr>
              <w:t>1.825</w:t>
            </w:r>
          </w:p>
        </w:tc>
        <w:tc>
          <w:tcPr>
            <w:tcW w:w="582" w:type="pct"/>
            <w:vAlign w:val="center"/>
          </w:tcPr>
          <w:p w14:paraId="2861A35D">
            <w:pPr>
              <w:pStyle w:val="54"/>
              <w:ind w:left="0" w:leftChars="0" w:right="0" w:rightChars="0" w:firstLine="0" w:firstLineChars="0"/>
              <w:jc w:val="center"/>
              <w:rPr>
                <w:sz w:val="21"/>
                <w:szCs w:val="21"/>
              </w:rPr>
            </w:pPr>
          </w:p>
        </w:tc>
        <w:tc>
          <w:tcPr>
            <w:tcW w:w="665" w:type="pct"/>
            <w:vAlign w:val="center"/>
          </w:tcPr>
          <w:p w14:paraId="6FF66470">
            <w:pPr>
              <w:widowControl/>
              <w:snapToGrid w:val="0"/>
              <w:spacing w:line="240" w:lineRule="atLeast"/>
              <w:ind w:left="0" w:leftChars="0" w:right="0" w:rightChars="0" w:firstLine="0" w:firstLineChars="0"/>
              <w:jc w:val="center"/>
              <w:textAlignment w:val="top"/>
              <w:rPr>
                <w:sz w:val="21"/>
                <w:szCs w:val="21"/>
              </w:rPr>
            </w:pPr>
          </w:p>
        </w:tc>
        <w:tc>
          <w:tcPr>
            <w:tcW w:w="468" w:type="pct"/>
            <w:vAlign w:val="center"/>
          </w:tcPr>
          <w:p w14:paraId="07B9B6C9">
            <w:pPr>
              <w:pStyle w:val="38"/>
              <w:bidi w:val="0"/>
              <w:rPr>
                <w:rFonts w:ascii="Times New Roman" w:hAnsi="Times New Roman" w:eastAsia="宋体" w:cs="Times New Roman"/>
                <w:kern w:val="2"/>
                <w:sz w:val="21"/>
                <w:szCs w:val="21"/>
                <w:lang w:val="en-US" w:eastAsia="zh-CN" w:bidi="ar-SA"/>
              </w:rPr>
            </w:pPr>
            <w:r>
              <w:rPr>
                <w:rFonts w:hint="default"/>
                <w:lang w:val="en-US" w:eastAsia="zh-CN"/>
              </w:rPr>
              <w:t>1.825</w:t>
            </w:r>
          </w:p>
        </w:tc>
      </w:tr>
      <w:tr w14:paraId="6640F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10FAD988">
            <w:pPr>
              <w:pStyle w:val="54"/>
              <w:ind w:left="0" w:leftChars="0" w:right="0" w:rightChars="0" w:firstLine="0" w:firstLineChars="0"/>
              <w:jc w:val="center"/>
              <w:rPr>
                <w:sz w:val="21"/>
                <w:szCs w:val="21"/>
              </w:rPr>
            </w:pPr>
          </w:p>
        </w:tc>
        <w:tc>
          <w:tcPr>
            <w:tcW w:w="697" w:type="pct"/>
            <w:vAlign w:val="center"/>
          </w:tcPr>
          <w:p w14:paraId="0753A12E">
            <w:pPr>
              <w:pStyle w:val="38"/>
              <w:ind w:left="0" w:leftChars="0" w:right="0" w:rightChars="0" w:firstLine="0" w:firstLineChars="0"/>
              <w:jc w:val="center"/>
              <w:rPr>
                <w:sz w:val="21"/>
                <w:szCs w:val="21"/>
              </w:rPr>
            </w:pPr>
            <w:r>
              <w:rPr>
                <w:sz w:val="21"/>
                <w:szCs w:val="21"/>
              </w:rPr>
              <w:t>NH</w:t>
            </w:r>
            <w:r>
              <w:rPr>
                <w:sz w:val="21"/>
                <w:szCs w:val="21"/>
                <w:vertAlign w:val="subscript"/>
              </w:rPr>
              <w:t>3</w:t>
            </w:r>
            <w:r>
              <w:rPr>
                <w:sz w:val="21"/>
                <w:szCs w:val="21"/>
              </w:rPr>
              <w:t>-N</w:t>
            </w:r>
          </w:p>
        </w:tc>
        <w:tc>
          <w:tcPr>
            <w:tcW w:w="462" w:type="pct"/>
            <w:vAlign w:val="center"/>
          </w:tcPr>
          <w:p w14:paraId="70DFAA9D">
            <w:pPr>
              <w:pStyle w:val="54"/>
              <w:ind w:left="0" w:leftChars="0" w:right="0" w:rightChars="0" w:firstLine="0" w:firstLineChars="0"/>
              <w:jc w:val="center"/>
              <w:rPr>
                <w:sz w:val="21"/>
                <w:szCs w:val="21"/>
              </w:rPr>
            </w:pPr>
          </w:p>
        </w:tc>
        <w:tc>
          <w:tcPr>
            <w:tcW w:w="461" w:type="pct"/>
            <w:vAlign w:val="center"/>
          </w:tcPr>
          <w:p w14:paraId="36FDB9C2">
            <w:pPr>
              <w:pStyle w:val="54"/>
              <w:ind w:left="0" w:leftChars="0" w:right="0" w:rightChars="0" w:firstLine="0" w:firstLineChars="0"/>
              <w:jc w:val="center"/>
              <w:rPr>
                <w:sz w:val="21"/>
                <w:szCs w:val="21"/>
              </w:rPr>
            </w:pPr>
          </w:p>
        </w:tc>
        <w:tc>
          <w:tcPr>
            <w:tcW w:w="555" w:type="pct"/>
            <w:vAlign w:val="center"/>
          </w:tcPr>
          <w:p w14:paraId="62EE91A3">
            <w:pPr>
              <w:pStyle w:val="54"/>
              <w:ind w:left="0" w:leftChars="0" w:right="0" w:rightChars="0" w:firstLine="0" w:firstLineChars="0"/>
              <w:jc w:val="center"/>
              <w:rPr>
                <w:sz w:val="21"/>
                <w:szCs w:val="21"/>
              </w:rPr>
            </w:pPr>
          </w:p>
        </w:tc>
        <w:tc>
          <w:tcPr>
            <w:tcW w:w="560" w:type="pct"/>
            <w:vAlign w:val="center"/>
          </w:tcPr>
          <w:p w14:paraId="7CF75B7F">
            <w:pPr>
              <w:pStyle w:val="38"/>
              <w:bidi w:val="0"/>
            </w:pPr>
            <w:r>
              <w:rPr>
                <w:rFonts w:hint="default"/>
                <w:lang w:val="en-US" w:eastAsia="zh-CN"/>
              </w:rPr>
              <w:t xml:space="preserve">0.913 </w:t>
            </w:r>
          </w:p>
        </w:tc>
        <w:tc>
          <w:tcPr>
            <w:tcW w:w="582" w:type="pct"/>
            <w:vAlign w:val="center"/>
          </w:tcPr>
          <w:p w14:paraId="62386CA6">
            <w:pPr>
              <w:pStyle w:val="54"/>
              <w:ind w:left="0" w:leftChars="0" w:right="0" w:rightChars="0" w:firstLine="0" w:firstLineChars="0"/>
              <w:jc w:val="center"/>
              <w:rPr>
                <w:sz w:val="21"/>
                <w:szCs w:val="21"/>
              </w:rPr>
            </w:pPr>
          </w:p>
        </w:tc>
        <w:tc>
          <w:tcPr>
            <w:tcW w:w="665" w:type="pct"/>
            <w:vAlign w:val="center"/>
          </w:tcPr>
          <w:p w14:paraId="364DA67F">
            <w:pPr>
              <w:widowControl/>
              <w:snapToGrid w:val="0"/>
              <w:spacing w:line="240" w:lineRule="atLeast"/>
              <w:ind w:left="0" w:leftChars="0" w:right="0" w:rightChars="0" w:firstLine="0" w:firstLineChars="0"/>
              <w:jc w:val="center"/>
              <w:textAlignment w:val="top"/>
              <w:rPr>
                <w:sz w:val="21"/>
                <w:szCs w:val="21"/>
              </w:rPr>
            </w:pPr>
          </w:p>
        </w:tc>
        <w:tc>
          <w:tcPr>
            <w:tcW w:w="468" w:type="pct"/>
            <w:vAlign w:val="center"/>
          </w:tcPr>
          <w:p w14:paraId="45A9FB24">
            <w:pPr>
              <w:pStyle w:val="38"/>
              <w:bidi w:val="0"/>
              <w:rPr>
                <w:rFonts w:ascii="Times New Roman" w:hAnsi="Times New Roman" w:eastAsia="宋体" w:cs="Times New Roman"/>
                <w:kern w:val="2"/>
                <w:sz w:val="21"/>
                <w:szCs w:val="21"/>
                <w:lang w:val="en-US" w:eastAsia="zh-CN" w:bidi="ar-SA"/>
              </w:rPr>
            </w:pPr>
            <w:r>
              <w:rPr>
                <w:rFonts w:hint="default"/>
                <w:lang w:val="en-US" w:eastAsia="zh-CN"/>
              </w:rPr>
              <w:t xml:space="preserve">0.913 </w:t>
            </w:r>
          </w:p>
        </w:tc>
      </w:tr>
      <w:tr w14:paraId="31A06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58E6E0A4">
            <w:pPr>
              <w:pStyle w:val="54"/>
              <w:ind w:left="0" w:leftChars="0" w:right="0" w:rightChars="0" w:firstLine="0" w:firstLineChars="0"/>
              <w:jc w:val="center"/>
              <w:rPr>
                <w:sz w:val="21"/>
                <w:szCs w:val="21"/>
              </w:rPr>
            </w:pPr>
          </w:p>
        </w:tc>
        <w:tc>
          <w:tcPr>
            <w:tcW w:w="697" w:type="pct"/>
            <w:vAlign w:val="center"/>
          </w:tcPr>
          <w:p w14:paraId="3E71BBDE">
            <w:pPr>
              <w:pStyle w:val="38"/>
              <w:ind w:left="0" w:leftChars="0" w:right="0" w:rightChars="0" w:firstLine="0" w:firstLineChars="0"/>
              <w:jc w:val="center"/>
              <w:rPr>
                <w:sz w:val="21"/>
                <w:szCs w:val="21"/>
              </w:rPr>
            </w:pPr>
            <w:r>
              <w:rPr>
                <w:rFonts w:hint="eastAsia"/>
                <w:sz w:val="21"/>
                <w:szCs w:val="21"/>
              </w:rPr>
              <w:t>TN</w:t>
            </w:r>
          </w:p>
        </w:tc>
        <w:tc>
          <w:tcPr>
            <w:tcW w:w="462" w:type="pct"/>
            <w:vAlign w:val="center"/>
          </w:tcPr>
          <w:p w14:paraId="0A2342D7">
            <w:pPr>
              <w:pStyle w:val="54"/>
              <w:ind w:left="0" w:leftChars="0" w:right="0" w:rightChars="0" w:firstLine="0" w:firstLineChars="0"/>
              <w:jc w:val="center"/>
              <w:rPr>
                <w:sz w:val="21"/>
                <w:szCs w:val="21"/>
              </w:rPr>
            </w:pPr>
          </w:p>
        </w:tc>
        <w:tc>
          <w:tcPr>
            <w:tcW w:w="461" w:type="pct"/>
            <w:vAlign w:val="center"/>
          </w:tcPr>
          <w:p w14:paraId="1CDC2867">
            <w:pPr>
              <w:pStyle w:val="54"/>
              <w:ind w:left="0" w:leftChars="0" w:right="0" w:rightChars="0" w:firstLine="0" w:firstLineChars="0"/>
              <w:jc w:val="center"/>
              <w:rPr>
                <w:sz w:val="21"/>
                <w:szCs w:val="21"/>
              </w:rPr>
            </w:pPr>
          </w:p>
        </w:tc>
        <w:tc>
          <w:tcPr>
            <w:tcW w:w="555" w:type="pct"/>
            <w:vAlign w:val="center"/>
          </w:tcPr>
          <w:p w14:paraId="41B082E0">
            <w:pPr>
              <w:pStyle w:val="54"/>
              <w:ind w:left="0" w:leftChars="0" w:right="0" w:rightChars="0" w:firstLine="0" w:firstLineChars="0"/>
              <w:jc w:val="center"/>
              <w:rPr>
                <w:sz w:val="21"/>
                <w:szCs w:val="21"/>
              </w:rPr>
            </w:pPr>
          </w:p>
        </w:tc>
        <w:tc>
          <w:tcPr>
            <w:tcW w:w="560" w:type="pct"/>
            <w:vAlign w:val="center"/>
          </w:tcPr>
          <w:p w14:paraId="47A42A2A">
            <w:pPr>
              <w:pStyle w:val="38"/>
              <w:bidi w:val="0"/>
            </w:pPr>
            <w:r>
              <w:rPr>
                <w:rFonts w:hint="default"/>
                <w:lang w:val="en-US" w:eastAsia="zh-CN"/>
              </w:rPr>
              <w:t xml:space="preserve">2.738 </w:t>
            </w:r>
          </w:p>
        </w:tc>
        <w:tc>
          <w:tcPr>
            <w:tcW w:w="582" w:type="pct"/>
            <w:vAlign w:val="center"/>
          </w:tcPr>
          <w:p w14:paraId="67FC819F">
            <w:pPr>
              <w:pStyle w:val="54"/>
              <w:ind w:left="0" w:leftChars="0" w:right="0" w:rightChars="0" w:firstLine="0" w:firstLineChars="0"/>
              <w:jc w:val="center"/>
              <w:rPr>
                <w:sz w:val="21"/>
                <w:szCs w:val="21"/>
              </w:rPr>
            </w:pPr>
          </w:p>
        </w:tc>
        <w:tc>
          <w:tcPr>
            <w:tcW w:w="665" w:type="pct"/>
            <w:vAlign w:val="center"/>
          </w:tcPr>
          <w:p w14:paraId="5FA5994E">
            <w:pPr>
              <w:widowControl/>
              <w:snapToGrid w:val="0"/>
              <w:spacing w:line="240" w:lineRule="atLeast"/>
              <w:ind w:left="0" w:leftChars="0" w:right="0" w:rightChars="0" w:firstLine="0" w:firstLineChars="0"/>
              <w:jc w:val="center"/>
              <w:textAlignment w:val="top"/>
              <w:rPr>
                <w:sz w:val="21"/>
                <w:szCs w:val="21"/>
              </w:rPr>
            </w:pPr>
          </w:p>
        </w:tc>
        <w:tc>
          <w:tcPr>
            <w:tcW w:w="468" w:type="pct"/>
            <w:vAlign w:val="center"/>
          </w:tcPr>
          <w:p w14:paraId="285FFCDF">
            <w:pPr>
              <w:pStyle w:val="38"/>
              <w:bidi w:val="0"/>
              <w:rPr>
                <w:rFonts w:ascii="Times New Roman" w:hAnsi="Times New Roman" w:eastAsia="宋体" w:cs="Times New Roman"/>
                <w:kern w:val="2"/>
                <w:sz w:val="21"/>
                <w:szCs w:val="21"/>
                <w:lang w:val="en-US" w:eastAsia="zh-CN" w:bidi="ar-SA"/>
              </w:rPr>
            </w:pPr>
            <w:r>
              <w:rPr>
                <w:rFonts w:hint="default"/>
                <w:lang w:val="en-US" w:eastAsia="zh-CN"/>
              </w:rPr>
              <w:t xml:space="preserve">2.738 </w:t>
            </w:r>
          </w:p>
        </w:tc>
      </w:tr>
      <w:tr w14:paraId="0322B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001FE8E7">
            <w:pPr>
              <w:pStyle w:val="54"/>
              <w:ind w:left="0" w:leftChars="0" w:right="0" w:rightChars="0" w:firstLine="0" w:firstLineChars="0"/>
              <w:jc w:val="center"/>
              <w:rPr>
                <w:sz w:val="21"/>
                <w:szCs w:val="21"/>
              </w:rPr>
            </w:pPr>
          </w:p>
        </w:tc>
        <w:tc>
          <w:tcPr>
            <w:tcW w:w="697" w:type="pct"/>
            <w:vAlign w:val="center"/>
          </w:tcPr>
          <w:p w14:paraId="63424347">
            <w:pPr>
              <w:pStyle w:val="38"/>
              <w:ind w:left="0" w:leftChars="0" w:right="0" w:rightChars="0" w:firstLine="0" w:firstLineChars="0"/>
              <w:jc w:val="center"/>
              <w:rPr>
                <w:sz w:val="21"/>
                <w:szCs w:val="21"/>
              </w:rPr>
            </w:pPr>
            <w:r>
              <w:rPr>
                <w:sz w:val="21"/>
                <w:szCs w:val="21"/>
              </w:rPr>
              <w:t>TP</w:t>
            </w:r>
          </w:p>
        </w:tc>
        <w:tc>
          <w:tcPr>
            <w:tcW w:w="462" w:type="pct"/>
            <w:vAlign w:val="center"/>
          </w:tcPr>
          <w:p w14:paraId="6DDEE9C0">
            <w:pPr>
              <w:pStyle w:val="54"/>
              <w:ind w:left="0" w:leftChars="0" w:right="0" w:rightChars="0" w:firstLine="0" w:firstLineChars="0"/>
              <w:jc w:val="center"/>
              <w:rPr>
                <w:sz w:val="21"/>
                <w:szCs w:val="21"/>
              </w:rPr>
            </w:pPr>
          </w:p>
        </w:tc>
        <w:tc>
          <w:tcPr>
            <w:tcW w:w="461" w:type="pct"/>
            <w:vAlign w:val="center"/>
          </w:tcPr>
          <w:p w14:paraId="30A737F1">
            <w:pPr>
              <w:pStyle w:val="54"/>
              <w:ind w:left="0" w:leftChars="0" w:right="0" w:rightChars="0" w:firstLine="0" w:firstLineChars="0"/>
              <w:jc w:val="center"/>
              <w:rPr>
                <w:sz w:val="21"/>
                <w:szCs w:val="21"/>
              </w:rPr>
            </w:pPr>
          </w:p>
        </w:tc>
        <w:tc>
          <w:tcPr>
            <w:tcW w:w="555" w:type="pct"/>
            <w:vAlign w:val="center"/>
          </w:tcPr>
          <w:p w14:paraId="4FAB2C19">
            <w:pPr>
              <w:pStyle w:val="54"/>
              <w:ind w:left="0" w:leftChars="0" w:right="0" w:rightChars="0" w:firstLine="0" w:firstLineChars="0"/>
              <w:jc w:val="center"/>
              <w:rPr>
                <w:sz w:val="21"/>
                <w:szCs w:val="21"/>
              </w:rPr>
            </w:pPr>
          </w:p>
        </w:tc>
        <w:tc>
          <w:tcPr>
            <w:tcW w:w="560" w:type="pct"/>
            <w:vAlign w:val="center"/>
          </w:tcPr>
          <w:p w14:paraId="2E460023">
            <w:pPr>
              <w:pStyle w:val="38"/>
              <w:bidi w:val="0"/>
            </w:pPr>
            <w:r>
              <w:rPr>
                <w:rFonts w:hint="default"/>
                <w:lang w:val="en-US" w:eastAsia="zh-CN"/>
              </w:rPr>
              <w:t xml:space="preserve">0.091 </w:t>
            </w:r>
          </w:p>
        </w:tc>
        <w:tc>
          <w:tcPr>
            <w:tcW w:w="582" w:type="pct"/>
            <w:vAlign w:val="center"/>
          </w:tcPr>
          <w:p w14:paraId="7FD4AAE9">
            <w:pPr>
              <w:pStyle w:val="54"/>
              <w:ind w:left="0" w:leftChars="0" w:right="0" w:rightChars="0" w:firstLine="0" w:firstLineChars="0"/>
              <w:jc w:val="center"/>
              <w:rPr>
                <w:sz w:val="21"/>
                <w:szCs w:val="21"/>
              </w:rPr>
            </w:pPr>
          </w:p>
        </w:tc>
        <w:tc>
          <w:tcPr>
            <w:tcW w:w="665" w:type="pct"/>
            <w:vAlign w:val="center"/>
          </w:tcPr>
          <w:p w14:paraId="75B2567E">
            <w:pPr>
              <w:widowControl/>
              <w:snapToGrid w:val="0"/>
              <w:spacing w:line="240" w:lineRule="atLeast"/>
              <w:ind w:left="0" w:leftChars="0" w:right="0" w:rightChars="0" w:firstLine="0" w:firstLineChars="0"/>
              <w:jc w:val="center"/>
              <w:textAlignment w:val="top"/>
              <w:rPr>
                <w:sz w:val="21"/>
                <w:szCs w:val="21"/>
              </w:rPr>
            </w:pPr>
          </w:p>
        </w:tc>
        <w:tc>
          <w:tcPr>
            <w:tcW w:w="468" w:type="pct"/>
            <w:vAlign w:val="center"/>
          </w:tcPr>
          <w:p w14:paraId="7CD26049">
            <w:pPr>
              <w:pStyle w:val="38"/>
              <w:bidi w:val="0"/>
              <w:rPr>
                <w:rFonts w:ascii="Times New Roman" w:hAnsi="Times New Roman" w:eastAsia="宋体" w:cs="Times New Roman"/>
                <w:kern w:val="2"/>
                <w:sz w:val="21"/>
                <w:szCs w:val="21"/>
                <w:lang w:val="en-US" w:eastAsia="zh-CN" w:bidi="ar-SA"/>
              </w:rPr>
            </w:pPr>
            <w:r>
              <w:rPr>
                <w:rFonts w:hint="default"/>
                <w:lang w:val="en-US" w:eastAsia="zh-CN"/>
              </w:rPr>
              <w:t xml:space="preserve">0.091 </w:t>
            </w:r>
          </w:p>
        </w:tc>
      </w:tr>
      <w:tr w14:paraId="5AF08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restart"/>
            <w:vAlign w:val="center"/>
          </w:tcPr>
          <w:p w14:paraId="4F7B60D3">
            <w:pPr>
              <w:pStyle w:val="54"/>
              <w:ind w:left="0" w:leftChars="0" w:right="0" w:rightChars="0" w:firstLine="0" w:firstLineChars="0"/>
              <w:jc w:val="center"/>
              <w:rPr>
                <w:sz w:val="21"/>
                <w:szCs w:val="21"/>
              </w:rPr>
            </w:pPr>
            <w:r>
              <w:rPr>
                <w:sz w:val="21"/>
                <w:szCs w:val="21"/>
              </w:rPr>
              <w:t>一般工业固体废物</w:t>
            </w:r>
          </w:p>
        </w:tc>
        <w:tc>
          <w:tcPr>
            <w:tcW w:w="697" w:type="pct"/>
            <w:vAlign w:val="center"/>
          </w:tcPr>
          <w:p w14:paraId="3C84FE32">
            <w:pPr>
              <w:ind w:left="0" w:leftChars="0" w:right="0" w:rightChars="0" w:firstLine="0" w:firstLineChars="0"/>
              <w:jc w:val="center"/>
              <w:rPr>
                <w:sz w:val="21"/>
                <w:szCs w:val="21"/>
              </w:rPr>
            </w:pPr>
            <w:r>
              <w:rPr>
                <w:rFonts w:hint="eastAsia"/>
                <w:snapToGrid w:val="0"/>
                <w:kern w:val="0"/>
                <w:sz w:val="21"/>
                <w:szCs w:val="21"/>
              </w:rPr>
              <w:t>栅渣</w:t>
            </w:r>
          </w:p>
        </w:tc>
        <w:tc>
          <w:tcPr>
            <w:tcW w:w="462" w:type="pct"/>
            <w:vAlign w:val="center"/>
          </w:tcPr>
          <w:p w14:paraId="335D1BAF">
            <w:pPr>
              <w:pStyle w:val="54"/>
              <w:ind w:left="0" w:leftChars="0" w:right="0" w:rightChars="0" w:firstLine="0" w:firstLineChars="0"/>
              <w:jc w:val="center"/>
              <w:rPr>
                <w:sz w:val="21"/>
                <w:szCs w:val="21"/>
              </w:rPr>
            </w:pPr>
          </w:p>
        </w:tc>
        <w:tc>
          <w:tcPr>
            <w:tcW w:w="461" w:type="pct"/>
            <w:vAlign w:val="center"/>
          </w:tcPr>
          <w:p w14:paraId="7DFC6168">
            <w:pPr>
              <w:pStyle w:val="54"/>
              <w:ind w:left="0" w:leftChars="0" w:right="0" w:rightChars="0" w:firstLine="0" w:firstLineChars="0"/>
              <w:jc w:val="center"/>
              <w:rPr>
                <w:sz w:val="21"/>
                <w:szCs w:val="21"/>
              </w:rPr>
            </w:pPr>
          </w:p>
        </w:tc>
        <w:tc>
          <w:tcPr>
            <w:tcW w:w="555" w:type="pct"/>
            <w:vAlign w:val="center"/>
          </w:tcPr>
          <w:p w14:paraId="0C9C36FB">
            <w:pPr>
              <w:pStyle w:val="54"/>
              <w:ind w:left="0" w:leftChars="0" w:right="0" w:rightChars="0" w:firstLine="0" w:firstLineChars="0"/>
              <w:jc w:val="center"/>
              <w:rPr>
                <w:sz w:val="21"/>
                <w:szCs w:val="21"/>
              </w:rPr>
            </w:pPr>
          </w:p>
        </w:tc>
        <w:tc>
          <w:tcPr>
            <w:tcW w:w="560" w:type="pct"/>
            <w:vAlign w:val="center"/>
          </w:tcPr>
          <w:p w14:paraId="632A488A">
            <w:pPr>
              <w:pStyle w:val="38"/>
              <w:bidi w:val="0"/>
            </w:pPr>
            <w:r>
              <w:rPr>
                <w:rFonts w:hint="eastAsia"/>
                <w:lang w:val="en-US" w:eastAsia="zh-CN"/>
              </w:rPr>
              <w:t>5.256</w:t>
            </w:r>
          </w:p>
        </w:tc>
        <w:tc>
          <w:tcPr>
            <w:tcW w:w="582" w:type="pct"/>
            <w:vAlign w:val="center"/>
          </w:tcPr>
          <w:p w14:paraId="5238D9BC">
            <w:pPr>
              <w:pStyle w:val="54"/>
              <w:ind w:left="0" w:leftChars="0" w:right="0" w:rightChars="0" w:firstLine="0" w:firstLineChars="0"/>
              <w:jc w:val="center"/>
              <w:rPr>
                <w:sz w:val="21"/>
                <w:szCs w:val="21"/>
              </w:rPr>
            </w:pPr>
          </w:p>
        </w:tc>
        <w:tc>
          <w:tcPr>
            <w:tcW w:w="665" w:type="pct"/>
            <w:vAlign w:val="center"/>
          </w:tcPr>
          <w:p w14:paraId="35ABBC70">
            <w:pPr>
              <w:pStyle w:val="54"/>
              <w:ind w:left="0" w:leftChars="0" w:right="0" w:rightChars="0" w:firstLine="0" w:firstLineChars="0"/>
              <w:jc w:val="center"/>
              <w:rPr>
                <w:sz w:val="21"/>
                <w:szCs w:val="21"/>
              </w:rPr>
            </w:pPr>
          </w:p>
        </w:tc>
        <w:tc>
          <w:tcPr>
            <w:tcW w:w="468" w:type="pct"/>
            <w:vAlign w:val="center"/>
          </w:tcPr>
          <w:p w14:paraId="5CC97CE3">
            <w:pPr>
              <w:pStyle w:val="38"/>
              <w:bidi w:val="0"/>
              <w:rPr>
                <w:rFonts w:ascii="Times New Roman" w:hAnsi="Times New Roman" w:eastAsia="宋体" w:cs="Times New Roman"/>
                <w:kern w:val="2"/>
                <w:sz w:val="21"/>
                <w:szCs w:val="21"/>
                <w:lang w:val="en-US" w:eastAsia="zh-CN" w:bidi="ar-SA"/>
              </w:rPr>
            </w:pPr>
            <w:r>
              <w:rPr>
                <w:rFonts w:hint="eastAsia"/>
                <w:lang w:val="en-US" w:eastAsia="zh-CN"/>
              </w:rPr>
              <w:t>5.256</w:t>
            </w:r>
          </w:p>
        </w:tc>
      </w:tr>
      <w:tr w14:paraId="6A4507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469CA7B3">
            <w:pPr>
              <w:pStyle w:val="54"/>
              <w:ind w:left="0" w:leftChars="0" w:right="0" w:rightChars="0" w:firstLine="0" w:firstLineChars="0"/>
              <w:jc w:val="center"/>
              <w:rPr>
                <w:sz w:val="21"/>
                <w:szCs w:val="21"/>
              </w:rPr>
            </w:pPr>
          </w:p>
        </w:tc>
        <w:tc>
          <w:tcPr>
            <w:tcW w:w="697" w:type="pct"/>
            <w:vAlign w:val="center"/>
          </w:tcPr>
          <w:p w14:paraId="4674B1CA">
            <w:pPr>
              <w:ind w:left="0" w:leftChars="0" w:right="0" w:rightChars="0" w:firstLine="0" w:firstLineChars="0"/>
              <w:jc w:val="center"/>
              <w:rPr>
                <w:sz w:val="21"/>
                <w:szCs w:val="21"/>
              </w:rPr>
            </w:pPr>
            <w:r>
              <w:rPr>
                <w:rFonts w:hint="eastAsia"/>
                <w:snapToGrid w:val="0"/>
                <w:kern w:val="0"/>
                <w:sz w:val="21"/>
                <w:szCs w:val="21"/>
              </w:rPr>
              <w:t>沉砂</w:t>
            </w:r>
          </w:p>
        </w:tc>
        <w:tc>
          <w:tcPr>
            <w:tcW w:w="462" w:type="pct"/>
            <w:vAlign w:val="center"/>
          </w:tcPr>
          <w:p w14:paraId="11A7C23A">
            <w:pPr>
              <w:pStyle w:val="54"/>
              <w:ind w:left="0" w:leftChars="0" w:right="0" w:rightChars="0" w:firstLine="0" w:firstLineChars="0"/>
              <w:jc w:val="center"/>
              <w:rPr>
                <w:sz w:val="21"/>
                <w:szCs w:val="21"/>
              </w:rPr>
            </w:pPr>
          </w:p>
        </w:tc>
        <w:tc>
          <w:tcPr>
            <w:tcW w:w="461" w:type="pct"/>
            <w:vAlign w:val="center"/>
          </w:tcPr>
          <w:p w14:paraId="24CF4667">
            <w:pPr>
              <w:pStyle w:val="54"/>
              <w:ind w:left="0" w:leftChars="0" w:right="0" w:rightChars="0" w:firstLine="0" w:firstLineChars="0"/>
              <w:jc w:val="center"/>
              <w:rPr>
                <w:sz w:val="21"/>
                <w:szCs w:val="21"/>
              </w:rPr>
            </w:pPr>
          </w:p>
        </w:tc>
        <w:tc>
          <w:tcPr>
            <w:tcW w:w="555" w:type="pct"/>
            <w:vAlign w:val="center"/>
          </w:tcPr>
          <w:p w14:paraId="10EC2488">
            <w:pPr>
              <w:pStyle w:val="54"/>
              <w:ind w:left="0" w:leftChars="0" w:right="0" w:rightChars="0" w:firstLine="0" w:firstLineChars="0"/>
              <w:jc w:val="center"/>
              <w:rPr>
                <w:sz w:val="21"/>
                <w:szCs w:val="21"/>
              </w:rPr>
            </w:pPr>
          </w:p>
        </w:tc>
        <w:tc>
          <w:tcPr>
            <w:tcW w:w="560" w:type="pct"/>
            <w:vAlign w:val="center"/>
          </w:tcPr>
          <w:p w14:paraId="205E9799">
            <w:pPr>
              <w:pStyle w:val="38"/>
              <w:bidi w:val="0"/>
            </w:pPr>
            <w:r>
              <w:rPr>
                <w:rFonts w:hint="eastAsia"/>
                <w:lang w:val="en-US" w:eastAsia="zh-CN"/>
              </w:rPr>
              <w:t>8.213</w:t>
            </w:r>
          </w:p>
        </w:tc>
        <w:tc>
          <w:tcPr>
            <w:tcW w:w="582" w:type="pct"/>
            <w:vAlign w:val="center"/>
          </w:tcPr>
          <w:p w14:paraId="704B53A0">
            <w:pPr>
              <w:pStyle w:val="54"/>
              <w:ind w:left="0" w:leftChars="0" w:right="0" w:rightChars="0" w:firstLine="0" w:firstLineChars="0"/>
              <w:jc w:val="center"/>
              <w:rPr>
                <w:sz w:val="21"/>
                <w:szCs w:val="21"/>
              </w:rPr>
            </w:pPr>
          </w:p>
        </w:tc>
        <w:tc>
          <w:tcPr>
            <w:tcW w:w="665" w:type="pct"/>
            <w:vAlign w:val="center"/>
          </w:tcPr>
          <w:p w14:paraId="3286AA9B">
            <w:pPr>
              <w:pStyle w:val="54"/>
              <w:ind w:left="0" w:leftChars="0" w:right="0" w:rightChars="0" w:firstLine="0" w:firstLineChars="0"/>
              <w:jc w:val="center"/>
              <w:rPr>
                <w:sz w:val="21"/>
                <w:szCs w:val="21"/>
              </w:rPr>
            </w:pPr>
          </w:p>
        </w:tc>
        <w:tc>
          <w:tcPr>
            <w:tcW w:w="468" w:type="pct"/>
            <w:vAlign w:val="center"/>
          </w:tcPr>
          <w:p w14:paraId="7B43A369">
            <w:pPr>
              <w:pStyle w:val="38"/>
              <w:bidi w:val="0"/>
              <w:rPr>
                <w:rFonts w:ascii="Times New Roman" w:hAnsi="Times New Roman" w:eastAsia="宋体" w:cs="Times New Roman"/>
                <w:kern w:val="2"/>
                <w:sz w:val="21"/>
                <w:szCs w:val="21"/>
                <w:lang w:val="en-US" w:eastAsia="zh-CN" w:bidi="ar-SA"/>
              </w:rPr>
            </w:pPr>
            <w:r>
              <w:rPr>
                <w:rFonts w:hint="eastAsia"/>
                <w:lang w:val="en-US" w:eastAsia="zh-CN"/>
              </w:rPr>
              <w:t>8.213</w:t>
            </w:r>
          </w:p>
        </w:tc>
      </w:tr>
      <w:tr w14:paraId="68D8C3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1AD86F04">
            <w:pPr>
              <w:pStyle w:val="54"/>
              <w:ind w:left="0" w:leftChars="0" w:right="0" w:rightChars="0" w:firstLine="0" w:firstLineChars="0"/>
              <w:jc w:val="center"/>
              <w:rPr>
                <w:sz w:val="21"/>
                <w:szCs w:val="21"/>
              </w:rPr>
            </w:pPr>
          </w:p>
        </w:tc>
        <w:tc>
          <w:tcPr>
            <w:tcW w:w="697" w:type="pct"/>
            <w:vAlign w:val="center"/>
          </w:tcPr>
          <w:p w14:paraId="64F8786D">
            <w:pPr>
              <w:ind w:left="0" w:leftChars="0" w:right="0" w:rightChars="0" w:firstLine="0" w:firstLineChars="0"/>
              <w:jc w:val="center"/>
              <w:rPr>
                <w:sz w:val="21"/>
                <w:szCs w:val="21"/>
              </w:rPr>
            </w:pPr>
            <w:r>
              <w:rPr>
                <w:rFonts w:hint="eastAsia"/>
                <w:snapToGrid w:val="0"/>
                <w:kern w:val="0"/>
                <w:sz w:val="21"/>
                <w:szCs w:val="21"/>
              </w:rPr>
              <w:t>废包装材料</w:t>
            </w:r>
          </w:p>
        </w:tc>
        <w:tc>
          <w:tcPr>
            <w:tcW w:w="462" w:type="pct"/>
            <w:vAlign w:val="center"/>
          </w:tcPr>
          <w:p w14:paraId="1DF06611">
            <w:pPr>
              <w:pStyle w:val="54"/>
              <w:ind w:left="0" w:leftChars="0" w:right="0" w:rightChars="0" w:firstLine="0" w:firstLineChars="0"/>
              <w:jc w:val="center"/>
              <w:rPr>
                <w:sz w:val="21"/>
                <w:szCs w:val="21"/>
              </w:rPr>
            </w:pPr>
          </w:p>
        </w:tc>
        <w:tc>
          <w:tcPr>
            <w:tcW w:w="461" w:type="pct"/>
            <w:vAlign w:val="center"/>
          </w:tcPr>
          <w:p w14:paraId="4D42E5F4">
            <w:pPr>
              <w:pStyle w:val="54"/>
              <w:ind w:left="0" w:leftChars="0" w:right="0" w:rightChars="0" w:firstLine="0" w:firstLineChars="0"/>
              <w:jc w:val="center"/>
              <w:rPr>
                <w:sz w:val="21"/>
                <w:szCs w:val="21"/>
              </w:rPr>
            </w:pPr>
          </w:p>
        </w:tc>
        <w:tc>
          <w:tcPr>
            <w:tcW w:w="555" w:type="pct"/>
            <w:vAlign w:val="center"/>
          </w:tcPr>
          <w:p w14:paraId="772F9A42">
            <w:pPr>
              <w:pStyle w:val="54"/>
              <w:ind w:left="0" w:leftChars="0" w:right="0" w:rightChars="0" w:firstLine="0" w:firstLineChars="0"/>
              <w:jc w:val="center"/>
              <w:rPr>
                <w:sz w:val="21"/>
                <w:szCs w:val="21"/>
              </w:rPr>
            </w:pPr>
          </w:p>
        </w:tc>
        <w:tc>
          <w:tcPr>
            <w:tcW w:w="560" w:type="pct"/>
            <w:vAlign w:val="center"/>
          </w:tcPr>
          <w:p w14:paraId="669AE724">
            <w:pPr>
              <w:pStyle w:val="38"/>
              <w:bidi w:val="0"/>
            </w:pPr>
            <w:r>
              <w:rPr>
                <w:rFonts w:hint="eastAsia"/>
                <w:lang w:val="en-US" w:eastAsia="zh-CN"/>
              </w:rPr>
              <w:t>0.02</w:t>
            </w:r>
          </w:p>
        </w:tc>
        <w:tc>
          <w:tcPr>
            <w:tcW w:w="582" w:type="pct"/>
            <w:vAlign w:val="center"/>
          </w:tcPr>
          <w:p w14:paraId="21DBA599">
            <w:pPr>
              <w:pStyle w:val="54"/>
              <w:ind w:left="0" w:leftChars="0" w:right="0" w:rightChars="0" w:firstLine="0" w:firstLineChars="0"/>
              <w:jc w:val="center"/>
              <w:rPr>
                <w:sz w:val="21"/>
                <w:szCs w:val="21"/>
              </w:rPr>
            </w:pPr>
          </w:p>
        </w:tc>
        <w:tc>
          <w:tcPr>
            <w:tcW w:w="665" w:type="pct"/>
            <w:vAlign w:val="center"/>
          </w:tcPr>
          <w:p w14:paraId="551A3055">
            <w:pPr>
              <w:pStyle w:val="54"/>
              <w:ind w:left="0" w:leftChars="0" w:right="0" w:rightChars="0" w:firstLine="0" w:firstLineChars="0"/>
              <w:jc w:val="center"/>
              <w:rPr>
                <w:sz w:val="21"/>
                <w:szCs w:val="21"/>
              </w:rPr>
            </w:pPr>
          </w:p>
        </w:tc>
        <w:tc>
          <w:tcPr>
            <w:tcW w:w="468" w:type="pct"/>
            <w:vAlign w:val="center"/>
          </w:tcPr>
          <w:p w14:paraId="27B9A07F">
            <w:pPr>
              <w:pStyle w:val="38"/>
              <w:bidi w:val="0"/>
              <w:rPr>
                <w:rFonts w:ascii="Times New Roman" w:hAnsi="Times New Roman" w:eastAsia="宋体" w:cs="Times New Roman"/>
                <w:kern w:val="2"/>
                <w:sz w:val="21"/>
                <w:szCs w:val="21"/>
                <w:lang w:val="en-US" w:eastAsia="zh-CN" w:bidi="ar-SA"/>
              </w:rPr>
            </w:pPr>
            <w:r>
              <w:rPr>
                <w:rFonts w:hint="eastAsia"/>
                <w:lang w:val="en-US" w:eastAsia="zh-CN"/>
              </w:rPr>
              <w:t>0.02</w:t>
            </w:r>
          </w:p>
        </w:tc>
      </w:tr>
      <w:tr w14:paraId="68BF4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48CE12CF">
            <w:pPr>
              <w:pStyle w:val="54"/>
              <w:ind w:left="0" w:leftChars="0" w:right="0" w:rightChars="0" w:firstLine="0" w:firstLineChars="0"/>
              <w:jc w:val="center"/>
              <w:rPr>
                <w:sz w:val="21"/>
                <w:szCs w:val="21"/>
              </w:rPr>
            </w:pPr>
          </w:p>
        </w:tc>
        <w:tc>
          <w:tcPr>
            <w:tcW w:w="697" w:type="pct"/>
            <w:vAlign w:val="center"/>
          </w:tcPr>
          <w:p w14:paraId="74B4CD7E">
            <w:pPr>
              <w:pStyle w:val="38"/>
              <w:ind w:left="0" w:leftChars="0" w:right="0" w:rightChars="0" w:firstLine="0" w:firstLineChars="0"/>
              <w:jc w:val="center"/>
              <w:rPr>
                <w:sz w:val="21"/>
                <w:szCs w:val="21"/>
              </w:rPr>
            </w:pPr>
            <w:r>
              <w:rPr>
                <w:rFonts w:hint="eastAsia"/>
                <w:snapToGrid w:val="0"/>
                <w:kern w:val="0"/>
                <w:sz w:val="21"/>
                <w:szCs w:val="21"/>
              </w:rPr>
              <w:t>污泥</w:t>
            </w:r>
          </w:p>
        </w:tc>
        <w:tc>
          <w:tcPr>
            <w:tcW w:w="462" w:type="pct"/>
            <w:vAlign w:val="center"/>
          </w:tcPr>
          <w:p w14:paraId="3D533E54">
            <w:pPr>
              <w:pStyle w:val="54"/>
              <w:ind w:left="0" w:leftChars="0" w:right="0" w:rightChars="0" w:firstLine="0" w:firstLineChars="0"/>
              <w:jc w:val="center"/>
              <w:rPr>
                <w:sz w:val="21"/>
                <w:szCs w:val="21"/>
              </w:rPr>
            </w:pPr>
          </w:p>
        </w:tc>
        <w:tc>
          <w:tcPr>
            <w:tcW w:w="461" w:type="pct"/>
            <w:vAlign w:val="center"/>
          </w:tcPr>
          <w:p w14:paraId="0D11C15B">
            <w:pPr>
              <w:pStyle w:val="54"/>
              <w:ind w:left="0" w:leftChars="0" w:right="0" w:rightChars="0" w:firstLine="0" w:firstLineChars="0"/>
              <w:jc w:val="center"/>
              <w:rPr>
                <w:sz w:val="21"/>
                <w:szCs w:val="21"/>
              </w:rPr>
            </w:pPr>
          </w:p>
        </w:tc>
        <w:tc>
          <w:tcPr>
            <w:tcW w:w="555" w:type="pct"/>
            <w:vAlign w:val="center"/>
          </w:tcPr>
          <w:p w14:paraId="2B325EF6">
            <w:pPr>
              <w:pStyle w:val="54"/>
              <w:ind w:left="0" w:leftChars="0" w:right="0" w:rightChars="0" w:firstLine="0" w:firstLineChars="0"/>
              <w:jc w:val="center"/>
              <w:rPr>
                <w:sz w:val="21"/>
                <w:szCs w:val="21"/>
              </w:rPr>
            </w:pPr>
          </w:p>
        </w:tc>
        <w:tc>
          <w:tcPr>
            <w:tcW w:w="560" w:type="pct"/>
            <w:vAlign w:val="center"/>
          </w:tcPr>
          <w:p w14:paraId="66C7A74B">
            <w:pPr>
              <w:pStyle w:val="38"/>
              <w:bidi w:val="0"/>
            </w:pPr>
            <w:r>
              <w:rPr>
                <w:rFonts w:hint="eastAsia"/>
                <w:lang w:val="en-US" w:eastAsia="zh-CN"/>
              </w:rPr>
              <w:t>136.875</w:t>
            </w:r>
          </w:p>
        </w:tc>
        <w:tc>
          <w:tcPr>
            <w:tcW w:w="582" w:type="pct"/>
            <w:vAlign w:val="center"/>
          </w:tcPr>
          <w:p w14:paraId="73A86E0F">
            <w:pPr>
              <w:pStyle w:val="54"/>
              <w:ind w:left="0" w:leftChars="0" w:right="0" w:rightChars="0" w:firstLine="0" w:firstLineChars="0"/>
              <w:jc w:val="center"/>
              <w:rPr>
                <w:sz w:val="21"/>
                <w:szCs w:val="21"/>
              </w:rPr>
            </w:pPr>
          </w:p>
        </w:tc>
        <w:tc>
          <w:tcPr>
            <w:tcW w:w="665" w:type="pct"/>
            <w:vAlign w:val="center"/>
          </w:tcPr>
          <w:p w14:paraId="2AB3D4BC">
            <w:pPr>
              <w:pStyle w:val="54"/>
              <w:ind w:left="0" w:leftChars="0" w:right="0" w:rightChars="0" w:firstLine="0" w:firstLineChars="0"/>
              <w:jc w:val="center"/>
              <w:rPr>
                <w:sz w:val="21"/>
                <w:szCs w:val="21"/>
              </w:rPr>
            </w:pPr>
          </w:p>
        </w:tc>
        <w:tc>
          <w:tcPr>
            <w:tcW w:w="468" w:type="pct"/>
            <w:vAlign w:val="center"/>
          </w:tcPr>
          <w:p w14:paraId="78E776EB">
            <w:pPr>
              <w:pStyle w:val="38"/>
              <w:bidi w:val="0"/>
              <w:rPr>
                <w:rFonts w:ascii="Times New Roman" w:hAnsi="Times New Roman" w:eastAsia="宋体" w:cs="Times New Roman"/>
                <w:kern w:val="2"/>
                <w:sz w:val="21"/>
                <w:szCs w:val="21"/>
                <w:lang w:val="en-US" w:eastAsia="zh-CN" w:bidi="ar-SA"/>
              </w:rPr>
            </w:pPr>
            <w:r>
              <w:rPr>
                <w:rFonts w:hint="eastAsia"/>
                <w:lang w:val="en-US" w:eastAsia="zh-CN"/>
              </w:rPr>
              <w:t>136.875</w:t>
            </w:r>
          </w:p>
        </w:tc>
      </w:tr>
      <w:tr w14:paraId="7B020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2429A50F">
            <w:pPr>
              <w:pStyle w:val="54"/>
              <w:ind w:left="0" w:leftChars="0" w:right="0" w:rightChars="0" w:firstLine="0" w:firstLineChars="0"/>
              <w:jc w:val="center"/>
              <w:rPr>
                <w:sz w:val="21"/>
                <w:szCs w:val="21"/>
              </w:rPr>
            </w:pPr>
          </w:p>
        </w:tc>
        <w:tc>
          <w:tcPr>
            <w:tcW w:w="697" w:type="pct"/>
            <w:vAlign w:val="center"/>
          </w:tcPr>
          <w:p w14:paraId="757E146B">
            <w:pPr>
              <w:pStyle w:val="38"/>
              <w:ind w:left="0" w:leftChars="0" w:right="0" w:rightChars="0"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生活垃圾</w:t>
            </w:r>
          </w:p>
        </w:tc>
        <w:tc>
          <w:tcPr>
            <w:tcW w:w="462" w:type="pct"/>
            <w:vAlign w:val="center"/>
          </w:tcPr>
          <w:p w14:paraId="08BF2719">
            <w:pPr>
              <w:pStyle w:val="54"/>
              <w:ind w:left="0" w:leftChars="0" w:right="0" w:rightChars="0" w:firstLine="0" w:firstLineChars="0"/>
              <w:jc w:val="center"/>
              <w:rPr>
                <w:sz w:val="21"/>
                <w:szCs w:val="21"/>
              </w:rPr>
            </w:pPr>
          </w:p>
        </w:tc>
        <w:tc>
          <w:tcPr>
            <w:tcW w:w="461" w:type="pct"/>
            <w:vAlign w:val="center"/>
          </w:tcPr>
          <w:p w14:paraId="6D65234A">
            <w:pPr>
              <w:pStyle w:val="54"/>
              <w:ind w:left="0" w:leftChars="0" w:right="0" w:rightChars="0" w:firstLine="0" w:firstLineChars="0"/>
              <w:jc w:val="center"/>
              <w:rPr>
                <w:sz w:val="21"/>
                <w:szCs w:val="21"/>
              </w:rPr>
            </w:pPr>
          </w:p>
        </w:tc>
        <w:tc>
          <w:tcPr>
            <w:tcW w:w="555" w:type="pct"/>
            <w:vAlign w:val="center"/>
          </w:tcPr>
          <w:p w14:paraId="70462EBF">
            <w:pPr>
              <w:pStyle w:val="54"/>
              <w:ind w:left="0" w:leftChars="0" w:right="0" w:rightChars="0" w:firstLine="0" w:firstLineChars="0"/>
              <w:jc w:val="center"/>
              <w:rPr>
                <w:sz w:val="21"/>
                <w:szCs w:val="21"/>
              </w:rPr>
            </w:pPr>
          </w:p>
        </w:tc>
        <w:tc>
          <w:tcPr>
            <w:tcW w:w="560" w:type="pct"/>
            <w:vAlign w:val="center"/>
          </w:tcPr>
          <w:p w14:paraId="169DBABE">
            <w:pPr>
              <w:pStyle w:val="38"/>
              <w:bidi w:val="0"/>
            </w:pPr>
            <w:r>
              <w:rPr>
                <w:rFonts w:hint="eastAsia"/>
                <w:lang w:val="en-US" w:eastAsia="zh-CN"/>
              </w:rPr>
              <w:t>0.365</w:t>
            </w:r>
          </w:p>
        </w:tc>
        <w:tc>
          <w:tcPr>
            <w:tcW w:w="582" w:type="pct"/>
            <w:vAlign w:val="center"/>
          </w:tcPr>
          <w:p w14:paraId="2DC66872">
            <w:pPr>
              <w:pStyle w:val="54"/>
              <w:ind w:left="0" w:leftChars="0" w:right="0" w:rightChars="0" w:firstLine="0" w:firstLineChars="0"/>
              <w:jc w:val="center"/>
              <w:rPr>
                <w:sz w:val="21"/>
                <w:szCs w:val="21"/>
              </w:rPr>
            </w:pPr>
          </w:p>
        </w:tc>
        <w:tc>
          <w:tcPr>
            <w:tcW w:w="665" w:type="pct"/>
            <w:vAlign w:val="center"/>
          </w:tcPr>
          <w:p w14:paraId="378D1195">
            <w:pPr>
              <w:pStyle w:val="54"/>
              <w:ind w:left="0" w:leftChars="0" w:right="0" w:rightChars="0" w:firstLine="0" w:firstLineChars="0"/>
              <w:jc w:val="center"/>
              <w:rPr>
                <w:sz w:val="21"/>
                <w:szCs w:val="21"/>
              </w:rPr>
            </w:pPr>
          </w:p>
        </w:tc>
        <w:tc>
          <w:tcPr>
            <w:tcW w:w="468" w:type="pct"/>
            <w:vAlign w:val="center"/>
          </w:tcPr>
          <w:p w14:paraId="563653D4">
            <w:pPr>
              <w:pStyle w:val="38"/>
              <w:bidi w:val="0"/>
              <w:rPr>
                <w:rFonts w:ascii="Times New Roman" w:hAnsi="Times New Roman" w:eastAsia="宋体" w:cs="Times New Roman"/>
                <w:kern w:val="2"/>
                <w:sz w:val="21"/>
                <w:szCs w:val="21"/>
                <w:lang w:val="en-US" w:eastAsia="zh-CN" w:bidi="ar-SA"/>
              </w:rPr>
            </w:pPr>
            <w:r>
              <w:rPr>
                <w:rFonts w:hint="eastAsia"/>
                <w:lang w:val="en-US" w:eastAsia="zh-CN"/>
              </w:rPr>
              <w:t>0.365</w:t>
            </w:r>
          </w:p>
        </w:tc>
      </w:tr>
      <w:tr w14:paraId="4951D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restart"/>
            <w:vAlign w:val="center"/>
          </w:tcPr>
          <w:p w14:paraId="51D3A029">
            <w:pPr>
              <w:pStyle w:val="54"/>
              <w:ind w:left="0" w:leftChars="0" w:right="0" w:rightChars="0" w:firstLine="0" w:firstLineChars="0"/>
              <w:jc w:val="center"/>
              <w:rPr>
                <w:sz w:val="21"/>
                <w:szCs w:val="21"/>
              </w:rPr>
            </w:pPr>
            <w:r>
              <w:rPr>
                <w:sz w:val="21"/>
                <w:szCs w:val="21"/>
              </w:rPr>
              <w:t>危险废物</w:t>
            </w:r>
          </w:p>
        </w:tc>
        <w:tc>
          <w:tcPr>
            <w:tcW w:w="697" w:type="pct"/>
            <w:vAlign w:val="center"/>
          </w:tcPr>
          <w:p w14:paraId="2A26B9C8">
            <w:pPr>
              <w:ind w:left="0" w:leftChars="0" w:right="0" w:rightChars="0" w:firstLine="0" w:firstLineChars="0"/>
              <w:jc w:val="center"/>
              <w:rPr>
                <w:sz w:val="21"/>
                <w:szCs w:val="21"/>
              </w:rPr>
            </w:pPr>
            <w:r>
              <w:rPr>
                <w:snapToGrid w:val="0"/>
                <w:kern w:val="0"/>
                <w:sz w:val="21"/>
                <w:szCs w:val="21"/>
              </w:rPr>
              <w:t>实验室废液、在线监测废液、</w:t>
            </w:r>
            <w:r>
              <w:rPr>
                <w:rFonts w:hint="eastAsia"/>
                <w:snapToGrid w:val="0"/>
                <w:kern w:val="0"/>
                <w:sz w:val="21"/>
                <w:szCs w:val="21"/>
                <w:lang w:eastAsia="zh-CN"/>
              </w:rPr>
              <w:t>废试剂包装物</w:t>
            </w:r>
            <w:r>
              <w:rPr>
                <w:snapToGrid w:val="0"/>
                <w:kern w:val="0"/>
                <w:sz w:val="21"/>
                <w:szCs w:val="21"/>
              </w:rPr>
              <w:t>、废试剂</w:t>
            </w:r>
          </w:p>
        </w:tc>
        <w:tc>
          <w:tcPr>
            <w:tcW w:w="462" w:type="pct"/>
            <w:vAlign w:val="center"/>
          </w:tcPr>
          <w:p w14:paraId="6722D769">
            <w:pPr>
              <w:pStyle w:val="54"/>
              <w:ind w:left="0" w:leftChars="0" w:right="0" w:rightChars="0" w:firstLine="0" w:firstLineChars="0"/>
              <w:jc w:val="center"/>
              <w:rPr>
                <w:sz w:val="21"/>
                <w:szCs w:val="21"/>
              </w:rPr>
            </w:pPr>
          </w:p>
        </w:tc>
        <w:tc>
          <w:tcPr>
            <w:tcW w:w="461" w:type="pct"/>
            <w:vAlign w:val="center"/>
          </w:tcPr>
          <w:p w14:paraId="207BE8BD">
            <w:pPr>
              <w:pStyle w:val="54"/>
              <w:ind w:left="0" w:leftChars="0" w:right="0" w:rightChars="0" w:firstLine="0" w:firstLineChars="0"/>
              <w:jc w:val="center"/>
              <w:rPr>
                <w:sz w:val="21"/>
                <w:szCs w:val="21"/>
              </w:rPr>
            </w:pPr>
          </w:p>
        </w:tc>
        <w:tc>
          <w:tcPr>
            <w:tcW w:w="555" w:type="pct"/>
            <w:vAlign w:val="center"/>
          </w:tcPr>
          <w:p w14:paraId="4DB3FF16">
            <w:pPr>
              <w:pStyle w:val="54"/>
              <w:ind w:left="0" w:leftChars="0" w:right="0" w:rightChars="0" w:firstLine="0" w:firstLineChars="0"/>
              <w:jc w:val="center"/>
              <w:rPr>
                <w:sz w:val="21"/>
                <w:szCs w:val="21"/>
              </w:rPr>
            </w:pPr>
          </w:p>
        </w:tc>
        <w:tc>
          <w:tcPr>
            <w:tcW w:w="560" w:type="pct"/>
            <w:vAlign w:val="center"/>
          </w:tcPr>
          <w:p w14:paraId="1044D961">
            <w:pPr>
              <w:pStyle w:val="38"/>
              <w:bidi w:val="0"/>
            </w:pPr>
            <w:r>
              <w:rPr>
                <w:rFonts w:hint="eastAsia"/>
                <w:lang w:val="en-US" w:eastAsia="zh-CN"/>
              </w:rPr>
              <w:t>0.155</w:t>
            </w:r>
          </w:p>
        </w:tc>
        <w:tc>
          <w:tcPr>
            <w:tcW w:w="582" w:type="pct"/>
            <w:vAlign w:val="center"/>
          </w:tcPr>
          <w:p w14:paraId="1D933778">
            <w:pPr>
              <w:pStyle w:val="54"/>
              <w:spacing w:line="240" w:lineRule="auto"/>
              <w:ind w:left="0" w:leftChars="0" w:right="0" w:rightChars="0" w:firstLine="0" w:firstLineChars="0"/>
              <w:jc w:val="center"/>
              <w:rPr>
                <w:sz w:val="21"/>
                <w:szCs w:val="21"/>
              </w:rPr>
            </w:pPr>
          </w:p>
        </w:tc>
        <w:tc>
          <w:tcPr>
            <w:tcW w:w="665" w:type="pct"/>
            <w:vAlign w:val="center"/>
          </w:tcPr>
          <w:p w14:paraId="70FA1544">
            <w:pPr>
              <w:pStyle w:val="38"/>
              <w:ind w:left="0" w:leftChars="0" w:right="0" w:rightChars="0" w:firstLine="0" w:firstLineChars="0"/>
              <w:jc w:val="center"/>
              <w:rPr>
                <w:sz w:val="21"/>
                <w:szCs w:val="21"/>
              </w:rPr>
            </w:pPr>
          </w:p>
        </w:tc>
        <w:tc>
          <w:tcPr>
            <w:tcW w:w="468" w:type="pct"/>
            <w:vAlign w:val="center"/>
          </w:tcPr>
          <w:p w14:paraId="7E0A3778">
            <w:pPr>
              <w:pStyle w:val="38"/>
              <w:bidi w:val="0"/>
              <w:rPr>
                <w:rFonts w:ascii="Times New Roman" w:hAnsi="Times New Roman" w:eastAsia="宋体" w:cs="Times New Roman"/>
                <w:kern w:val="2"/>
                <w:sz w:val="21"/>
                <w:szCs w:val="21"/>
                <w:lang w:val="en-US" w:eastAsia="zh-CN" w:bidi="ar-SA"/>
              </w:rPr>
            </w:pPr>
            <w:r>
              <w:rPr>
                <w:rFonts w:hint="eastAsia"/>
                <w:lang w:val="en-US" w:eastAsia="zh-CN"/>
              </w:rPr>
              <w:t>0.155</w:t>
            </w:r>
          </w:p>
        </w:tc>
      </w:tr>
      <w:tr w14:paraId="77C7F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04DDF066">
            <w:pPr>
              <w:pStyle w:val="54"/>
              <w:ind w:left="0" w:leftChars="0" w:right="0" w:rightChars="0" w:firstLine="0" w:firstLineChars="0"/>
              <w:jc w:val="center"/>
              <w:rPr>
                <w:sz w:val="21"/>
                <w:szCs w:val="21"/>
              </w:rPr>
            </w:pPr>
          </w:p>
        </w:tc>
        <w:tc>
          <w:tcPr>
            <w:tcW w:w="697" w:type="pct"/>
            <w:vAlign w:val="center"/>
          </w:tcPr>
          <w:p w14:paraId="6BE02A9E">
            <w:pPr>
              <w:ind w:left="0" w:leftChars="0" w:right="0" w:rightChars="0" w:firstLine="0" w:firstLineChars="0"/>
              <w:jc w:val="center"/>
              <w:rPr>
                <w:sz w:val="21"/>
                <w:szCs w:val="21"/>
              </w:rPr>
            </w:pPr>
            <w:r>
              <w:rPr>
                <w:rFonts w:hint="eastAsia"/>
                <w:snapToGrid w:val="0"/>
                <w:kern w:val="0"/>
                <w:sz w:val="21"/>
                <w:szCs w:val="21"/>
              </w:rPr>
              <w:t>废润滑油</w:t>
            </w:r>
          </w:p>
        </w:tc>
        <w:tc>
          <w:tcPr>
            <w:tcW w:w="462" w:type="pct"/>
            <w:vAlign w:val="center"/>
          </w:tcPr>
          <w:p w14:paraId="6F397321">
            <w:pPr>
              <w:pStyle w:val="54"/>
              <w:ind w:left="0" w:leftChars="0" w:right="0" w:rightChars="0" w:firstLine="0" w:firstLineChars="0"/>
              <w:jc w:val="center"/>
              <w:rPr>
                <w:sz w:val="21"/>
                <w:szCs w:val="21"/>
              </w:rPr>
            </w:pPr>
          </w:p>
        </w:tc>
        <w:tc>
          <w:tcPr>
            <w:tcW w:w="461" w:type="pct"/>
            <w:vAlign w:val="center"/>
          </w:tcPr>
          <w:p w14:paraId="2DC4AA4A">
            <w:pPr>
              <w:pStyle w:val="54"/>
              <w:ind w:left="0" w:leftChars="0" w:right="0" w:rightChars="0" w:firstLine="0" w:firstLineChars="0"/>
              <w:jc w:val="center"/>
              <w:rPr>
                <w:sz w:val="21"/>
                <w:szCs w:val="21"/>
              </w:rPr>
            </w:pPr>
          </w:p>
        </w:tc>
        <w:tc>
          <w:tcPr>
            <w:tcW w:w="555" w:type="pct"/>
            <w:vAlign w:val="center"/>
          </w:tcPr>
          <w:p w14:paraId="2131D90F">
            <w:pPr>
              <w:pStyle w:val="54"/>
              <w:ind w:left="0" w:leftChars="0" w:right="0" w:rightChars="0" w:firstLine="0" w:firstLineChars="0"/>
              <w:jc w:val="center"/>
              <w:rPr>
                <w:sz w:val="21"/>
                <w:szCs w:val="21"/>
              </w:rPr>
            </w:pPr>
          </w:p>
        </w:tc>
        <w:tc>
          <w:tcPr>
            <w:tcW w:w="560" w:type="pct"/>
            <w:vAlign w:val="center"/>
          </w:tcPr>
          <w:p w14:paraId="3E5E0919">
            <w:pPr>
              <w:pStyle w:val="38"/>
              <w:bidi w:val="0"/>
            </w:pPr>
            <w:r>
              <w:rPr>
                <w:rFonts w:hint="eastAsia"/>
                <w:lang w:val="en-US" w:eastAsia="zh-CN"/>
              </w:rPr>
              <w:t>0.005</w:t>
            </w:r>
          </w:p>
        </w:tc>
        <w:tc>
          <w:tcPr>
            <w:tcW w:w="582" w:type="pct"/>
            <w:vAlign w:val="center"/>
          </w:tcPr>
          <w:p w14:paraId="19B37C7A">
            <w:pPr>
              <w:pStyle w:val="54"/>
              <w:spacing w:line="240" w:lineRule="auto"/>
              <w:ind w:left="0" w:leftChars="0" w:right="0" w:rightChars="0" w:firstLine="0" w:firstLineChars="0"/>
              <w:jc w:val="center"/>
              <w:rPr>
                <w:sz w:val="21"/>
                <w:szCs w:val="21"/>
              </w:rPr>
            </w:pPr>
          </w:p>
        </w:tc>
        <w:tc>
          <w:tcPr>
            <w:tcW w:w="665" w:type="pct"/>
            <w:vAlign w:val="center"/>
          </w:tcPr>
          <w:p w14:paraId="57109308">
            <w:pPr>
              <w:pStyle w:val="38"/>
              <w:ind w:left="0" w:leftChars="0" w:right="0" w:rightChars="0" w:firstLine="0" w:firstLineChars="0"/>
              <w:jc w:val="center"/>
              <w:rPr>
                <w:sz w:val="21"/>
                <w:szCs w:val="21"/>
              </w:rPr>
            </w:pPr>
          </w:p>
        </w:tc>
        <w:tc>
          <w:tcPr>
            <w:tcW w:w="468" w:type="pct"/>
            <w:vAlign w:val="center"/>
          </w:tcPr>
          <w:p w14:paraId="3D9F8F62">
            <w:pPr>
              <w:pStyle w:val="38"/>
              <w:bidi w:val="0"/>
              <w:rPr>
                <w:rFonts w:ascii="Times New Roman" w:hAnsi="Times New Roman" w:eastAsia="宋体" w:cs="Times New Roman"/>
                <w:kern w:val="2"/>
                <w:sz w:val="21"/>
                <w:szCs w:val="21"/>
                <w:lang w:val="en-US" w:eastAsia="zh-CN" w:bidi="ar-SA"/>
              </w:rPr>
            </w:pPr>
            <w:r>
              <w:rPr>
                <w:rFonts w:hint="eastAsia"/>
                <w:lang w:val="en-US" w:eastAsia="zh-CN"/>
              </w:rPr>
              <w:t>0.005</w:t>
            </w:r>
          </w:p>
        </w:tc>
      </w:tr>
      <w:tr w14:paraId="3ECC7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35947888">
            <w:pPr>
              <w:pStyle w:val="54"/>
              <w:ind w:left="0" w:leftChars="0" w:right="0" w:rightChars="0" w:firstLine="0" w:firstLineChars="0"/>
              <w:jc w:val="center"/>
              <w:rPr>
                <w:sz w:val="21"/>
                <w:szCs w:val="21"/>
              </w:rPr>
            </w:pPr>
          </w:p>
        </w:tc>
        <w:tc>
          <w:tcPr>
            <w:tcW w:w="697" w:type="pct"/>
            <w:vAlign w:val="center"/>
          </w:tcPr>
          <w:p w14:paraId="3C06BC2A">
            <w:pPr>
              <w:ind w:left="0" w:leftChars="0" w:right="0" w:rightChars="0" w:firstLine="0" w:firstLineChars="0"/>
              <w:jc w:val="center"/>
              <w:rPr>
                <w:sz w:val="21"/>
                <w:szCs w:val="21"/>
              </w:rPr>
            </w:pPr>
            <w:r>
              <w:rPr>
                <w:rFonts w:hint="eastAsia"/>
                <w:snapToGrid w:val="0"/>
                <w:kern w:val="0"/>
                <w:sz w:val="21"/>
                <w:szCs w:val="21"/>
              </w:rPr>
              <w:t>废润滑油桶</w:t>
            </w:r>
          </w:p>
        </w:tc>
        <w:tc>
          <w:tcPr>
            <w:tcW w:w="462" w:type="pct"/>
            <w:vAlign w:val="center"/>
          </w:tcPr>
          <w:p w14:paraId="3B83A83B">
            <w:pPr>
              <w:pStyle w:val="54"/>
              <w:ind w:left="0" w:leftChars="0" w:right="0" w:rightChars="0" w:firstLine="0" w:firstLineChars="0"/>
              <w:jc w:val="center"/>
              <w:rPr>
                <w:sz w:val="21"/>
                <w:szCs w:val="21"/>
              </w:rPr>
            </w:pPr>
          </w:p>
        </w:tc>
        <w:tc>
          <w:tcPr>
            <w:tcW w:w="461" w:type="pct"/>
            <w:vAlign w:val="center"/>
          </w:tcPr>
          <w:p w14:paraId="4833C64E">
            <w:pPr>
              <w:pStyle w:val="54"/>
              <w:ind w:left="0" w:leftChars="0" w:right="0" w:rightChars="0" w:firstLine="0" w:firstLineChars="0"/>
              <w:jc w:val="center"/>
              <w:rPr>
                <w:sz w:val="21"/>
                <w:szCs w:val="21"/>
              </w:rPr>
            </w:pPr>
          </w:p>
        </w:tc>
        <w:tc>
          <w:tcPr>
            <w:tcW w:w="555" w:type="pct"/>
            <w:vAlign w:val="center"/>
          </w:tcPr>
          <w:p w14:paraId="303BDFD6">
            <w:pPr>
              <w:pStyle w:val="54"/>
              <w:ind w:left="0" w:leftChars="0" w:right="0" w:rightChars="0" w:firstLine="0" w:firstLineChars="0"/>
              <w:jc w:val="center"/>
              <w:rPr>
                <w:sz w:val="21"/>
                <w:szCs w:val="21"/>
              </w:rPr>
            </w:pPr>
          </w:p>
        </w:tc>
        <w:tc>
          <w:tcPr>
            <w:tcW w:w="560" w:type="pct"/>
            <w:vAlign w:val="center"/>
          </w:tcPr>
          <w:p w14:paraId="21D6C5FD">
            <w:pPr>
              <w:pStyle w:val="38"/>
              <w:bidi w:val="0"/>
            </w:pPr>
            <w:r>
              <w:rPr>
                <w:rFonts w:hint="eastAsia"/>
                <w:lang w:val="en-US" w:eastAsia="zh-CN"/>
              </w:rPr>
              <w:t>0.001</w:t>
            </w:r>
          </w:p>
        </w:tc>
        <w:tc>
          <w:tcPr>
            <w:tcW w:w="582" w:type="pct"/>
            <w:vAlign w:val="center"/>
          </w:tcPr>
          <w:p w14:paraId="102F3B9E">
            <w:pPr>
              <w:pStyle w:val="54"/>
              <w:spacing w:line="240" w:lineRule="auto"/>
              <w:ind w:left="0" w:leftChars="0" w:right="0" w:rightChars="0" w:firstLine="0" w:firstLineChars="0"/>
              <w:jc w:val="center"/>
              <w:rPr>
                <w:sz w:val="21"/>
                <w:szCs w:val="21"/>
              </w:rPr>
            </w:pPr>
          </w:p>
        </w:tc>
        <w:tc>
          <w:tcPr>
            <w:tcW w:w="665" w:type="pct"/>
            <w:vAlign w:val="center"/>
          </w:tcPr>
          <w:p w14:paraId="378CF431">
            <w:pPr>
              <w:pStyle w:val="38"/>
              <w:ind w:left="0" w:leftChars="0" w:right="0" w:rightChars="0" w:firstLine="0" w:firstLineChars="0"/>
              <w:jc w:val="center"/>
              <w:rPr>
                <w:sz w:val="21"/>
                <w:szCs w:val="21"/>
              </w:rPr>
            </w:pPr>
          </w:p>
        </w:tc>
        <w:tc>
          <w:tcPr>
            <w:tcW w:w="468" w:type="pct"/>
            <w:vAlign w:val="center"/>
          </w:tcPr>
          <w:p w14:paraId="2037245A">
            <w:pPr>
              <w:pStyle w:val="38"/>
              <w:bidi w:val="0"/>
              <w:rPr>
                <w:rFonts w:ascii="Times New Roman" w:hAnsi="Times New Roman" w:eastAsia="宋体" w:cs="Times New Roman"/>
                <w:kern w:val="2"/>
                <w:sz w:val="21"/>
                <w:szCs w:val="21"/>
                <w:lang w:val="en-US" w:eastAsia="zh-CN" w:bidi="ar-SA"/>
              </w:rPr>
            </w:pPr>
            <w:r>
              <w:rPr>
                <w:rFonts w:hint="eastAsia"/>
                <w:lang w:val="en-US" w:eastAsia="zh-CN"/>
              </w:rPr>
              <w:t>0.001</w:t>
            </w:r>
          </w:p>
        </w:tc>
      </w:tr>
      <w:tr w14:paraId="65FDC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4" w:type="pct"/>
            <w:vMerge w:val="continue"/>
            <w:vAlign w:val="center"/>
          </w:tcPr>
          <w:p w14:paraId="34E0033F">
            <w:pPr>
              <w:pStyle w:val="54"/>
              <w:ind w:left="0" w:leftChars="0" w:right="0" w:rightChars="0" w:firstLine="0" w:firstLineChars="0"/>
              <w:jc w:val="center"/>
              <w:rPr>
                <w:sz w:val="21"/>
                <w:szCs w:val="21"/>
              </w:rPr>
            </w:pPr>
          </w:p>
        </w:tc>
        <w:tc>
          <w:tcPr>
            <w:tcW w:w="697" w:type="pct"/>
            <w:vAlign w:val="center"/>
          </w:tcPr>
          <w:p w14:paraId="2354B2E2">
            <w:pPr>
              <w:ind w:left="0" w:leftChars="0" w:right="0" w:rightChars="0" w:firstLine="0" w:firstLineChars="0"/>
              <w:jc w:val="center"/>
              <w:rPr>
                <w:sz w:val="21"/>
                <w:szCs w:val="21"/>
              </w:rPr>
            </w:pPr>
            <w:r>
              <w:rPr>
                <w:rFonts w:hint="eastAsia"/>
                <w:snapToGrid w:val="0"/>
                <w:kern w:val="0"/>
                <w:sz w:val="21"/>
                <w:szCs w:val="21"/>
              </w:rPr>
              <w:t>废含油抹布和手套</w:t>
            </w:r>
          </w:p>
        </w:tc>
        <w:tc>
          <w:tcPr>
            <w:tcW w:w="462" w:type="pct"/>
            <w:vAlign w:val="center"/>
          </w:tcPr>
          <w:p w14:paraId="5605FDEA">
            <w:pPr>
              <w:pStyle w:val="54"/>
              <w:ind w:left="0" w:leftChars="0" w:right="0" w:rightChars="0" w:firstLine="0" w:firstLineChars="0"/>
              <w:jc w:val="center"/>
              <w:rPr>
                <w:sz w:val="21"/>
                <w:szCs w:val="21"/>
              </w:rPr>
            </w:pPr>
          </w:p>
        </w:tc>
        <w:tc>
          <w:tcPr>
            <w:tcW w:w="461" w:type="pct"/>
            <w:vAlign w:val="center"/>
          </w:tcPr>
          <w:p w14:paraId="335C13E4">
            <w:pPr>
              <w:pStyle w:val="54"/>
              <w:ind w:left="0" w:leftChars="0" w:right="0" w:rightChars="0" w:firstLine="0" w:firstLineChars="0"/>
              <w:jc w:val="center"/>
              <w:rPr>
                <w:sz w:val="21"/>
                <w:szCs w:val="21"/>
              </w:rPr>
            </w:pPr>
          </w:p>
        </w:tc>
        <w:tc>
          <w:tcPr>
            <w:tcW w:w="555" w:type="pct"/>
            <w:vAlign w:val="center"/>
          </w:tcPr>
          <w:p w14:paraId="3466088A">
            <w:pPr>
              <w:pStyle w:val="54"/>
              <w:ind w:left="0" w:leftChars="0" w:right="0" w:rightChars="0" w:firstLine="0" w:firstLineChars="0"/>
              <w:jc w:val="center"/>
              <w:rPr>
                <w:sz w:val="21"/>
                <w:szCs w:val="21"/>
              </w:rPr>
            </w:pPr>
          </w:p>
        </w:tc>
        <w:tc>
          <w:tcPr>
            <w:tcW w:w="560" w:type="pct"/>
            <w:vAlign w:val="center"/>
          </w:tcPr>
          <w:p w14:paraId="61114A2A">
            <w:pPr>
              <w:pStyle w:val="38"/>
              <w:bidi w:val="0"/>
            </w:pPr>
            <w:r>
              <w:rPr>
                <w:rFonts w:hint="eastAsia"/>
                <w:lang w:val="en-US" w:eastAsia="zh-CN"/>
              </w:rPr>
              <w:t>0.001</w:t>
            </w:r>
          </w:p>
        </w:tc>
        <w:tc>
          <w:tcPr>
            <w:tcW w:w="582" w:type="pct"/>
            <w:vAlign w:val="center"/>
          </w:tcPr>
          <w:p w14:paraId="06B3880E">
            <w:pPr>
              <w:pStyle w:val="54"/>
              <w:spacing w:line="240" w:lineRule="auto"/>
              <w:ind w:left="0" w:leftChars="0" w:right="0" w:rightChars="0" w:firstLine="0" w:firstLineChars="0"/>
              <w:jc w:val="center"/>
              <w:rPr>
                <w:sz w:val="21"/>
                <w:szCs w:val="21"/>
              </w:rPr>
            </w:pPr>
          </w:p>
        </w:tc>
        <w:tc>
          <w:tcPr>
            <w:tcW w:w="665" w:type="pct"/>
            <w:vAlign w:val="center"/>
          </w:tcPr>
          <w:p w14:paraId="38FDD1FC">
            <w:pPr>
              <w:pStyle w:val="38"/>
              <w:ind w:left="0" w:leftChars="0" w:right="0" w:rightChars="0" w:firstLine="0" w:firstLineChars="0"/>
              <w:jc w:val="center"/>
              <w:rPr>
                <w:sz w:val="21"/>
                <w:szCs w:val="21"/>
              </w:rPr>
            </w:pPr>
          </w:p>
        </w:tc>
        <w:tc>
          <w:tcPr>
            <w:tcW w:w="468" w:type="pct"/>
            <w:vAlign w:val="center"/>
          </w:tcPr>
          <w:p w14:paraId="3AA73606">
            <w:pPr>
              <w:pStyle w:val="38"/>
              <w:bidi w:val="0"/>
              <w:rPr>
                <w:rFonts w:ascii="Times New Roman" w:hAnsi="Times New Roman" w:eastAsia="宋体" w:cs="Times New Roman"/>
                <w:kern w:val="2"/>
                <w:sz w:val="21"/>
                <w:szCs w:val="21"/>
                <w:lang w:val="en-US" w:eastAsia="zh-CN" w:bidi="ar-SA"/>
              </w:rPr>
            </w:pPr>
            <w:r>
              <w:rPr>
                <w:rFonts w:hint="eastAsia"/>
                <w:lang w:val="en-US" w:eastAsia="zh-CN"/>
              </w:rPr>
              <w:t>0.001</w:t>
            </w:r>
          </w:p>
        </w:tc>
      </w:tr>
    </w:tbl>
    <w:p w14:paraId="2377E294">
      <w:pPr>
        <w:pStyle w:val="84"/>
        <w:numPr>
          <w:ilvl w:val="6"/>
          <w:numId w:val="0"/>
        </w:numPr>
        <w:spacing w:before="192" w:beforeLines="80" w:after="24"/>
        <w:jc w:val="left"/>
      </w:pPr>
      <w:r>
        <w:rPr>
          <w:rFonts w:ascii="Times New Roman" w:hAnsi="Times New Roman"/>
          <w:snapToGrid w:val="0"/>
          <w:color w:val="000000"/>
          <w:kern w:val="21"/>
        </w:rPr>
        <w:t>注：</w:t>
      </w:r>
      <w:r>
        <w:rPr>
          <w:rFonts w:ascii="Times New Roman" w:hAnsi="Times New Roman"/>
          <w:snapToGrid w:val="0"/>
          <w:color w:val="000000"/>
          <w:spacing w:val="-16"/>
          <w:kern w:val="21"/>
        </w:rPr>
        <w:fldChar w:fldCharType="begin"/>
      </w:r>
      <w:r>
        <w:rPr>
          <w:rFonts w:ascii="Times New Roman" w:hAnsi="Times New Roman"/>
          <w:snapToGrid w:val="0"/>
          <w:color w:val="000000"/>
          <w:spacing w:val="-16"/>
          <w:kern w:val="21"/>
        </w:rPr>
        <w:instrText xml:space="preserve"> = 6 \* GB3 \* MERGEFORMAT </w:instrText>
      </w:r>
      <w:r>
        <w:rPr>
          <w:rFonts w:ascii="Times New Roman" w:hAnsi="Times New Roman"/>
          <w:snapToGrid w:val="0"/>
          <w:color w:val="000000"/>
          <w:spacing w:val="-16"/>
          <w:kern w:val="21"/>
        </w:rPr>
        <w:fldChar w:fldCharType="separate"/>
      </w:r>
      <w:r>
        <w:rPr>
          <w:rFonts w:ascii="Times New Roman" w:hAnsi="Times New Roman"/>
        </w:rPr>
        <w:t>⑥</w:t>
      </w:r>
      <w:r>
        <w:rPr>
          <w:rFonts w:ascii="Times New Roman" w:hAnsi="Times New Roman"/>
          <w:snapToGrid w:val="0"/>
          <w:color w:val="000000"/>
          <w:spacing w:val="-16"/>
          <w:kern w:val="21"/>
        </w:rPr>
        <w:fldChar w:fldCharType="end"/>
      </w:r>
      <w:r>
        <w:rPr>
          <w:rFonts w:ascii="Times New Roman" w:hAnsi="Times New Roman"/>
          <w:snapToGrid w:val="0"/>
          <w:color w:val="000000"/>
          <w:spacing w:val="-16"/>
          <w:kern w:val="21"/>
        </w:rPr>
        <w:t>=</w:t>
      </w:r>
      <w:r>
        <w:rPr>
          <w:rFonts w:ascii="Times New Roman" w:hAnsi="Times New Roman"/>
          <w:snapToGrid w:val="0"/>
          <w:color w:val="000000"/>
          <w:spacing w:val="-6"/>
          <w:kern w:val="21"/>
        </w:rPr>
        <w:fldChar w:fldCharType="begin"/>
      </w:r>
      <w:r>
        <w:rPr>
          <w:rFonts w:ascii="Times New Roman" w:hAnsi="Times New Roman"/>
          <w:snapToGrid w:val="0"/>
          <w:color w:val="000000"/>
          <w:spacing w:val="-6"/>
          <w:kern w:val="21"/>
        </w:rPr>
        <w:instrText xml:space="preserve"> = 1 \* GB3 \* MERGEFORMAT </w:instrText>
      </w:r>
      <w:r>
        <w:rPr>
          <w:rFonts w:ascii="Times New Roman" w:hAnsi="Times New Roman"/>
          <w:snapToGrid w:val="0"/>
          <w:color w:val="000000"/>
          <w:spacing w:val="-6"/>
          <w:kern w:val="21"/>
        </w:rPr>
        <w:fldChar w:fldCharType="separate"/>
      </w:r>
      <w:r>
        <w:rPr>
          <w:rFonts w:ascii="Times New Roman" w:hAnsi="Times New Roman"/>
        </w:rPr>
        <w:t>①</w:t>
      </w:r>
      <w:r>
        <w:rPr>
          <w:rFonts w:ascii="Times New Roman" w:hAnsi="Times New Roman"/>
          <w:snapToGrid w:val="0"/>
          <w:color w:val="000000"/>
          <w:spacing w:val="-6"/>
          <w:kern w:val="21"/>
        </w:rPr>
        <w:fldChar w:fldCharType="end"/>
      </w:r>
      <w:r>
        <w:rPr>
          <w:rFonts w:ascii="Times New Roman" w:hAnsi="Times New Roman"/>
          <w:snapToGrid w:val="0"/>
          <w:color w:val="000000"/>
          <w:spacing w:val="-6"/>
          <w:kern w:val="21"/>
        </w:rPr>
        <w:t>+</w:t>
      </w:r>
      <w:r>
        <w:rPr>
          <w:rFonts w:ascii="Times New Roman" w:hAnsi="Times New Roman"/>
          <w:snapToGrid w:val="0"/>
          <w:color w:val="000000"/>
          <w:spacing w:val="-6"/>
          <w:kern w:val="21"/>
        </w:rPr>
        <w:fldChar w:fldCharType="begin"/>
      </w:r>
      <w:r>
        <w:rPr>
          <w:rFonts w:ascii="Times New Roman" w:hAnsi="Times New Roman"/>
          <w:snapToGrid w:val="0"/>
          <w:color w:val="000000"/>
          <w:spacing w:val="-6"/>
          <w:kern w:val="21"/>
        </w:rPr>
        <w:instrText xml:space="preserve"> = 3 \* GB3 \* MERGEFORMAT </w:instrText>
      </w:r>
      <w:r>
        <w:rPr>
          <w:rFonts w:ascii="Times New Roman" w:hAnsi="Times New Roman"/>
          <w:snapToGrid w:val="0"/>
          <w:color w:val="000000"/>
          <w:spacing w:val="-6"/>
          <w:kern w:val="21"/>
        </w:rPr>
        <w:fldChar w:fldCharType="separate"/>
      </w:r>
      <w:r>
        <w:rPr>
          <w:rFonts w:ascii="Times New Roman" w:hAnsi="Times New Roman"/>
        </w:rPr>
        <w:t>③</w:t>
      </w:r>
      <w:r>
        <w:rPr>
          <w:rFonts w:ascii="Times New Roman" w:hAnsi="Times New Roman"/>
          <w:snapToGrid w:val="0"/>
          <w:color w:val="000000"/>
          <w:spacing w:val="-6"/>
          <w:kern w:val="21"/>
        </w:rPr>
        <w:fldChar w:fldCharType="end"/>
      </w:r>
      <w:r>
        <w:rPr>
          <w:rFonts w:ascii="Times New Roman" w:hAnsi="Times New Roman"/>
          <w:snapToGrid w:val="0"/>
          <w:color w:val="000000"/>
          <w:spacing w:val="-6"/>
          <w:kern w:val="21"/>
        </w:rPr>
        <w:t>+</w:t>
      </w:r>
      <w:r>
        <w:rPr>
          <w:rFonts w:ascii="Times New Roman" w:hAnsi="Times New Roman"/>
          <w:snapToGrid w:val="0"/>
          <w:color w:val="000000"/>
          <w:spacing w:val="-6"/>
          <w:kern w:val="21"/>
        </w:rPr>
        <w:fldChar w:fldCharType="begin"/>
      </w:r>
      <w:r>
        <w:rPr>
          <w:rFonts w:ascii="Times New Roman" w:hAnsi="Times New Roman"/>
          <w:snapToGrid w:val="0"/>
          <w:color w:val="000000"/>
          <w:spacing w:val="-6"/>
          <w:kern w:val="21"/>
        </w:rPr>
        <w:instrText xml:space="preserve"> = 4 \* GB3 \* MERGEFORMAT </w:instrText>
      </w:r>
      <w:r>
        <w:rPr>
          <w:rFonts w:ascii="Times New Roman" w:hAnsi="Times New Roman"/>
          <w:snapToGrid w:val="0"/>
          <w:color w:val="000000"/>
          <w:spacing w:val="-6"/>
          <w:kern w:val="21"/>
        </w:rPr>
        <w:fldChar w:fldCharType="separate"/>
      </w:r>
      <w:r>
        <w:rPr>
          <w:rFonts w:ascii="Times New Roman" w:hAnsi="Times New Roman"/>
        </w:rPr>
        <w:t>④</w:t>
      </w:r>
      <w:r>
        <w:rPr>
          <w:rFonts w:ascii="Times New Roman" w:hAnsi="Times New Roman"/>
          <w:snapToGrid w:val="0"/>
          <w:color w:val="000000"/>
          <w:spacing w:val="-6"/>
          <w:kern w:val="21"/>
        </w:rPr>
        <w:fldChar w:fldCharType="end"/>
      </w:r>
      <w:r>
        <w:rPr>
          <w:rFonts w:ascii="Times New Roman" w:hAnsi="Times New Roman"/>
          <w:snapToGrid w:val="0"/>
          <w:color w:val="000000"/>
          <w:spacing w:val="-6"/>
          <w:kern w:val="21"/>
        </w:rPr>
        <w:t>-</w:t>
      </w:r>
      <w:r>
        <w:rPr>
          <w:rFonts w:ascii="Times New Roman" w:hAnsi="Times New Roman"/>
          <w:snapToGrid w:val="0"/>
          <w:color w:val="000000"/>
          <w:spacing w:val="-16"/>
          <w:kern w:val="21"/>
        </w:rPr>
        <w:fldChar w:fldCharType="begin"/>
      </w:r>
      <w:r>
        <w:rPr>
          <w:rFonts w:ascii="Times New Roman" w:hAnsi="Times New Roman"/>
          <w:snapToGrid w:val="0"/>
          <w:color w:val="000000"/>
          <w:spacing w:val="-16"/>
          <w:kern w:val="21"/>
        </w:rPr>
        <w:instrText xml:space="preserve"> = 5 \* GB3 \* MERGEFORMAT </w:instrText>
      </w:r>
      <w:r>
        <w:rPr>
          <w:rFonts w:ascii="Times New Roman" w:hAnsi="Times New Roman"/>
          <w:snapToGrid w:val="0"/>
          <w:color w:val="000000"/>
          <w:spacing w:val="-16"/>
          <w:kern w:val="21"/>
        </w:rPr>
        <w:fldChar w:fldCharType="separate"/>
      </w:r>
      <w:r>
        <w:rPr>
          <w:rFonts w:ascii="Times New Roman" w:hAnsi="Times New Roman"/>
        </w:rPr>
        <w:t>⑤</w:t>
      </w:r>
      <w:r>
        <w:rPr>
          <w:rFonts w:ascii="Times New Roman" w:hAnsi="Times New Roman"/>
          <w:snapToGrid w:val="0"/>
          <w:color w:val="000000"/>
          <w:spacing w:val="-16"/>
          <w:kern w:val="21"/>
        </w:rPr>
        <w:fldChar w:fldCharType="end"/>
      </w:r>
      <w:r>
        <w:rPr>
          <w:rFonts w:ascii="Times New Roman" w:hAnsi="Times New Roman"/>
          <w:snapToGrid w:val="0"/>
          <w:color w:val="000000"/>
          <w:spacing w:val="-16"/>
          <w:kern w:val="21"/>
        </w:rPr>
        <w:t>；</w:t>
      </w:r>
      <w:r>
        <w:rPr>
          <w:rFonts w:ascii="Times New Roman" w:hAnsi="Times New Roman"/>
          <w:snapToGrid w:val="0"/>
          <w:color w:val="000000"/>
          <w:spacing w:val="-6"/>
          <w:kern w:val="21"/>
        </w:rPr>
        <w:fldChar w:fldCharType="begin"/>
      </w:r>
      <w:r>
        <w:rPr>
          <w:rFonts w:ascii="Times New Roman" w:hAnsi="Times New Roman"/>
          <w:snapToGrid w:val="0"/>
          <w:color w:val="000000"/>
          <w:spacing w:val="-6"/>
          <w:kern w:val="21"/>
        </w:rPr>
        <w:instrText xml:space="preserve"> = 7 \* GB3 \* MERGEFORMAT </w:instrText>
      </w:r>
      <w:r>
        <w:rPr>
          <w:rFonts w:ascii="Times New Roman" w:hAnsi="Times New Roman"/>
          <w:snapToGrid w:val="0"/>
          <w:color w:val="000000"/>
          <w:spacing w:val="-6"/>
          <w:kern w:val="21"/>
        </w:rPr>
        <w:fldChar w:fldCharType="separate"/>
      </w:r>
      <w:r>
        <w:rPr>
          <w:rFonts w:ascii="Times New Roman" w:hAnsi="Times New Roman"/>
        </w:rPr>
        <w:t>⑦</w:t>
      </w:r>
      <w:r>
        <w:rPr>
          <w:rFonts w:ascii="Times New Roman" w:hAnsi="Times New Roman"/>
          <w:snapToGrid w:val="0"/>
          <w:color w:val="000000"/>
          <w:spacing w:val="-6"/>
          <w:kern w:val="21"/>
        </w:rPr>
        <w:fldChar w:fldCharType="end"/>
      </w:r>
      <w:r>
        <w:rPr>
          <w:rFonts w:ascii="Times New Roman" w:hAnsi="Times New Roman"/>
          <w:snapToGrid w:val="0"/>
          <w:color w:val="000000"/>
          <w:spacing w:val="-6"/>
          <w:kern w:val="21"/>
        </w:rPr>
        <w:t>=</w:t>
      </w:r>
      <w:r>
        <w:rPr>
          <w:rFonts w:ascii="Times New Roman" w:hAnsi="Times New Roman"/>
          <w:snapToGrid w:val="0"/>
          <w:color w:val="000000"/>
          <w:spacing w:val="-16"/>
          <w:kern w:val="21"/>
        </w:rPr>
        <w:fldChar w:fldCharType="begin"/>
      </w:r>
      <w:r>
        <w:rPr>
          <w:rFonts w:ascii="Times New Roman" w:hAnsi="Times New Roman"/>
          <w:snapToGrid w:val="0"/>
          <w:color w:val="000000"/>
          <w:spacing w:val="-16"/>
          <w:kern w:val="21"/>
        </w:rPr>
        <w:instrText xml:space="preserve"> = 6 \* GB3 \* MERGEFORMAT </w:instrText>
      </w:r>
      <w:r>
        <w:rPr>
          <w:rFonts w:ascii="Times New Roman" w:hAnsi="Times New Roman"/>
          <w:snapToGrid w:val="0"/>
          <w:color w:val="000000"/>
          <w:spacing w:val="-16"/>
          <w:kern w:val="21"/>
        </w:rPr>
        <w:fldChar w:fldCharType="separate"/>
      </w:r>
      <w:r>
        <w:rPr>
          <w:rFonts w:ascii="Times New Roman" w:hAnsi="Times New Roman"/>
        </w:rPr>
        <w:t>⑥</w:t>
      </w:r>
      <w:r>
        <w:rPr>
          <w:rFonts w:ascii="Times New Roman" w:hAnsi="Times New Roman"/>
          <w:snapToGrid w:val="0"/>
          <w:color w:val="000000"/>
          <w:spacing w:val="-16"/>
          <w:kern w:val="21"/>
        </w:rPr>
        <w:fldChar w:fldCharType="end"/>
      </w:r>
      <w:r>
        <w:rPr>
          <w:rFonts w:ascii="Times New Roman" w:hAnsi="Times New Roman"/>
          <w:snapToGrid w:val="0"/>
          <w:color w:val="000000"/>
          <w:spacing w:val="-16"/>
          <w:kern w:val="21"/>
        </w:rPr>
        <w:t>-</w:t>
      </w:r>
      <w:r>
        <w:rPr>
          <w:rFonts w:ascii="Times New Roman" w:hAnsi="Times New Roman"/>
          <w:snapToGrid w:val="0"/>
          <w:color w:val="000000"/>
          <w:spacing w:val="-6"/>
          <w:kern w:val="21"/>
        </w:rPr>
        <w:fldChar w:fldCharType="begin"/>
      </w:r>
      <w:r>
        <w:rPr>
          <w:rFonts w:ascii="Times New Roman" w:hAnsi="Times New Roman"/>
          <w:snapToGrid w:val="0"/>
          <w:color w:val="000000"/>
          <w:spacing w:val="-6"/>
          <w:kern w:val="21"/>
        </w:rPr>
        <w:instrText xml:space="preserve"> = 1 \* GB3 \* MERGEFORMAT </w:instrText>
      </w:r>
      <w:r>
        <w:rPr>
          <w:rFonts w:ascii="Times New Roman" w:hAnsi="Times New Roman"/>
          <w:snapToGrid w:val="0"/>
          <w:color w:val="000000"/>
          <w:spacing w:val="-6"/>
          <w:kern w:val="21"/>
        </w:rPr>
        <w:fldChar w:fldCharType="separate"/>
      </w:r>
      <w:r>
        <w:rPr>
          <w:rFonts w:ascii="Times New Roman" w:hAnsi="Times New Roman"/>
        </w:rPr>
        <w:t>①</w:t>
      </w:r>
      <w:r>
        <w:rPr>
          <w:rFonts w:ascii="Times New Roman" w:hAnsi="Times New Roman"/>
          <w:snapToGrid w:val="0"/>
          <w:color w:val="000000"/>
          <w:spacing w:val="-6"/>
          <w:kern w:val="21"/>
        </w:rPr>
        <w:fldChar w:fldCharType="end"/>
      </w:r>
    </w:p>
    <w:p w14:paraId="72F2DF1F">
      <w:pPr>
        <w:spacing w:line="360" w:lineRule="auto"/>
        <w:ind w:firstLine="420" w:firstLineChars="200"/>
      </w:pPr>
    </w:p>
    <w:p w14:paraId="4087E246"/>
    <w:p w14:paraId="2E415B79"/>
    <w:sectPr>
      <w:footerReference r:id="rId5"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41">
      <wne:acd wne:acdName="acd0"/>
    </wne:keymap>
    <wne:keymap wne:kcmPrimary="0645">
      <wne:acd wne:acdName="acd1"/>
    </wne:keymap>
    <wne:keymap wne:kcmPrimary="0651">
      <wne:acd wne:acdName="acd2"/>
    </wne:keymap>
    <wne:keymap wne:kcmPrimary="065A">
      <wne:acd wne:acdName="acd3"/>
    </wne:keymap>
  </wne:keymaps>
  <wne:acds>
    <wne:acd wne:argValue="AgBDAFgAWQAgAGNrh2U=" wne:acdName="acd0" wne:fciIndexBasedOn="0065"/>
    <wne:acd wne:argValue="AgBDAFgAWQBoiIVR" wne:acdName="acd1" wne:fciIndexBasedOn="0065"/>
    <wne:acd wne:argValue="AgB5AHQAaIg0WQ==" wne:acdName="acd2" wne:fciIndexBasedOn="0065"/>
    <wne:acd wne:argValue="AgB5AHQA/lYHaA==" wne:acdName="acd3"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EE791">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BA79C">
    <w:pPr>
      <w:pStyle w:val="2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108256">
                          <w:pPr>
                            <w:pStyle w:val="20"/>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- 87 -</w:t>
                          </w:r>
                          <w:r>
                            <w:rPr>
                              <w:sz w:val="21"/>
                              <w:szCs w:val="22"/>
                            </w:rPr>
                            <w:fldChar w:fldCharType="end"/>
                          </w:r>
                        </w:p>
                      </w:txbxContent>
                    </wps:txbx>
                    <wps:bodyPr wrap="none" lIns="0" tIns="0" rIns="0" bIns="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mPITMMBAACR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UBJHLc48cv3b5cfvy4/v5Jl&#10;9XqVJeoD1Jj5EDA3DXd+wPTZD+jMzAcVbf4iJ4JxRDtfBZZDIiI/Wq/W6wpDAmPzBfHZ4/MQIb2V&#10;3pJsNDTiBIuw/PQe0pg6p+Rqzt9rY8oUjfvLgZjZw3LvY4/ZSsN+mAjtfXtGPj0Ov6EOd50S886h&#10;tthfmo04G/vJyDUg3B4TFi79ZNQRaiqGkyqMpq3Kq/DnvWQ9/kn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WY8hMwwEAAJEDAAAOAAAAAAAAAAEAIAAAAB4BAABkcnMvZTJvRG9jLnhtbFBL&#10;BQYAAAAABgAGAFkBAABTBQAAAAA=&#10;">
              <v:fill on="f" focussize="0,0"/>
              <v:stroke on="f"/>
              <v:imagedata o:title=""/>
              <o:lock v:ext="edit" aspectratio="f"/>
              <v:textbox inset="0mm,0mm,0mm,0mm" style="mso-fit-shape-to-text:t;">
                <w:txbxContent>
                  <w:p w14:paraId="69108256">
                    <w:pPr>
                      <w:pStyle w:val="20"/>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- 87 -</w:t>
                    </w:r>
                    <w:r>
                      <w:rPr>
                        <w:sz w:val="21"/>
                        <w:szCs w:val="2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49444">
    <w:pPr>
      <w:pStyle w:val="20"/>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27CF5">
                          <w:pPr>
                            <w:pStyle w:val="20"/>
                          </w:pPr>
                          <w:r>
                            <w:fldChar w:fldCharType="begin"/>
                          </w:r>
                          <w:r>
                            <w:instrText xml:space="preserve"> PAGE  \* MERGEFORMAT </w:instrText>
                          </w:r>
                          <w:r>
                            <w:fldChar w:fldCharType="separate"/>
                          </w:r>
                          <w:r>
                            <w:t>- 138 -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7F227CF5">
                    <w:pPr>
                      <w:pStyle w:val="20"/>
                    </w:pPr>
                    <w:r>
                      <w:fldChar w:fldCharType="begin"/>
                    </w:r>
                    <w:r>
                      <w:instrText xml:space="preserve"> PAGE  \* MERGEFORMAT </w:instrText>
                    </w:r>
                    <w:r>
                      <w:fldChar w:fldCharType="separate"/>
                    </w:r>
                    <w:r>
                      <w:t>- 138 -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80CBD"/>
    <w:multiLevelType w:val="multilevel"/>
    <w:tmpl w:val="83180CBD"/>
    <w:lvl w:ilvl="0" w:tentative="0">
      <w:start w:val="1"/>
      <w:numFmt w:val="decimal"/>
      <w:lvlText w:val="%1"/>
      <w:lvlJc w:val="center"/>
      <w:pPr>
        <w:tabs>
          <w:tab w:val="left" w:pos="277"/>
        </w:tabs>
        <w:ind w:left="397" w:hanging="397"/>
      </w:pPr>
      <w:rPr>
        <w:rFonts w:hint="default" w:ascii="宋体" w:hAnsi="宋体" w:eastAsia="宋体" w:cs="宋体"/>
        <w:b/>
        <w:bCs/>
        <w:sz w:val="36"/>
        <w:szCs w:val="36"/>
      </w:rPr>
    </w:lvl>
    <w:lvl w:ilvl="1" w:tentative="0">
      <w:start w:val="1"/>
      <w:numFmt w:val="decimal"/>
      <w:lvlText w:val="%1.%2"/>
      <w:lvlJc w:val="left"/>
      <w:pPr>
        <w:ind w:left="567" w:hanging="567"/>
      </w:pPr>
      <w:rPr>
        <w:rFonts w:hint="default" w:ascii="宋体" w:hAnsi="宋体" w:eastAsia="宋体" w:cs="宋体"/>
        <w:b/>
        <w:bCs/>
        <w:sz w:val="32"/>
        <w:szCs w:val="32"/>
      </w:rPr>
    </w:lvl>
    <w:lvl w:ilvl="2" w:tentative="0">
      <w:start w:val="1"/>
      <w:numFmt w:val="decimal"/>
      <w:lvlText w:val="%1.%2.%3"/>
      <w:lvlJc w:val="left"/>
      <w:pPr>
        <w:ind w:left="709" w:hanging="709"/>
      </w:pPr>
      <w:rPr>
        <w:rFonts w:hint="default" w:ascii="宋体" w:hAnsi="宋体" w:eastAsia="宋体" w:cs="宋体"/>
        <w:b/>
        <w:bCs/>
        <w:sz w:val="30"/>
        <w:szCs w:val="30"/>
      </w:rPr>
    </w:lvl>
    <w:lvl w:ilvl="3" w:tentative="0">
      <w:start w:val="1"/>
      <w:numFmt w:val="decimal"/>
      <w:lvlRestart w:val="2"/>
      <w:pStyle w:val="41"/>
      <w:lvlText w:val="表%1.%2-%4"/>
      <w:lvlJc w:val="center"/>
      <w:pPr>
        <w:tabs>
          <w:tab w:val="left" w:pos="850"/>
        </w:tabs>
        <w:ind w:left="569" w:hanging="569"/>
      </w:pPr>
      <w:rPr>
        <w:rFonts w:hint="default" w:ascii="宋体" w:hAnsi="宋体" w:eastAsia="宋体" w:cs="宋体"/>
        <w:b/>
        <w:bCs/>
        <w:sz w:val="21"/>
        <w:szCs w:val="21"/>
      </w:rPr>
    </w:lvl>
    <w:lvl w:ilvl="4" w:tentative="0">
      <w:start w:val="1"/>
      <w:numFmt w:val="decimal"/>
      <w:lvlRestart w:val="1"/>
      <w:lvlText w:val="图%1.%2.%5"/>
      <w:lvlJc w:val="center"/>
      <w:pPr>
        <w:tabs>
          <w:tab w:val="left" w:pos="0"/>
        </w:tabs>
        <w:ind w:left="0" w:firstLine="0"/>
      </w:pPr>
      <w:rPr>
        <w:rFonts w:hint="default" w:ascii="宋体" w:hAnsi="宋体" w:eastAsia="宋体" w:cs="宋体"/>
        <w:b/>
        <w:bCs/>
        <w:sz w:val="21"/>
        <w:szCs w:val="21"/>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05C3FECC"/>
    <w:multiLevelType w:val="multilevel"/>
    <w:tmpl w:val="05C3FECC"/>
    <w:lvl w:ilvl="0" w:tentative="0">
      <w:start w:val="1"/>
      <w:numFmt w:val="decimal"/>
      <w:suff w:val="space"/>
      <w:lvlText w:val="%1"/>
      <w:lvlJc w:val="left"/>
      <w:pPr>
        <w:tabs>
          <w:tab w:val="left" w:pos="420"/>
        </w:tabs>
        <w:ind w:left="0" w:firstLine="0"/>
      </w:pPr>
      <w:rPr>
        <w:rFonts w:hint="default" w:ascii="Times New Roman" w:hAnsi="Times New Roman" w:eastAsia="宋体" w:cs="宋体"/>
      </w:rPr>
    </w:lvl>
    <w:lvl w:ilvl="1" w:tentative="0">
      <w:start w:val="1"/>
      <w:numFmt w:val="decimal"/>
      <w:suff w:val="space"/>
      <w:lvlText w:val="%1.%2"/>
      <w:lvlJc w:val="left"/>
      <w:pPr>
        <w:tabs>
          <w:tab w:val="left" w:pos="0"/>
        </w:tabs>
        <w:ind w:left="0" w:firstLine="0"/>
      </w:pPr>
      <w:rPr>
        <w:rFonts w:hint="default" w:ascii="Times New Roman" w:hAnsi="Times New Roman" w:eastAsia="宋体" w:cs="宋体"/>
      </w:rPr>
    </w:lvl>
    <w:lvl w:ilvl="2" w:tentative="0">
      <w:start w:val="1"/>
      <w:numFmt w:val="decimal"/>
      <w:suff w:val="space"/>
      <w:lvlText w:val="%1.%2.%3"/>
      <w:lvlJc w:val="left"/>
      <w:pPr>
        <w:tabs>
          <w:tab w:val="left" w:pos="0"/>
        </w:tabs>
        <w:ind w:left="240" w:firstLine="0"/>
      </w:pPr>
      <w:rPr>
        <w:rFonts w:hint="default" w:ascii="Times New Roman" w:hAnsi="Times New Roman" w:eastAsia="宋体" w:cs="宋体"/>
      </w:rPr>
    </w:lvl>
    <w:lvl w:ilvl="3" w:tentative="0">
      <w:start w:val="1"/>
      <w:numFmt w:val="decimal"/>
      <w:suff w:val="space"/>
      <w:lvlText w:val="%1.%2.%3.%4"/>
      <w:lvlJc w:val="left"/>
      <w:pPr>
        <w:tabs>
          <w:tab w:val="left" w:pos="420"/>
        </w:tabs>
        <w:ind w:left="1200" w:firstLine="0"/>
      </w:pPr>
      <w:rPr>
        <w:rFonts w:hint="default" w:ascii="Times New Roman" w:hAnsi="Times New Roman" w:eastAsia="宋体" w:cs="宋体"/>
      </w:rPr>
    </w:lvl>
    <w:lvl w:ilvl="4" w:tentative="0">
      <w:start w:val="1"/>
      <w:numFmt w:val="decimal"/>
      <w:lvlRestart w:val="2"/>
      <w:lvlText w:val="图%1.%2-%5 "/>
      <w:lvlJc w:val="left"/>
      <w:pPr>
        <w:ind w:left="1008" w:hanging="1008"/>
      </w:pPr>
      <w:rPr>
        <w:rFonts w:hint="default" w:ascii="Times New Roman" w:hAnsi="Times New Roman" w:eastAsia="宋体" w:cs="宋体"/>
        <w:b/>
        <w:sz w:val="24"/>
        <w:szCs w:val="24"/>
      </w:rPr>
    </w:lvl>
    <w:lvl w:ilvl="5" w:tentative="0">
      <w:start w:val="1"/>
      <w:numFmt w:val="decimal"/>
      <w:lvlRestart w:val="2"/>
      <w:lvlText w:val="图%1.%2-%6 "/>
      <w:lvlJc w:val="center"/>
      <w:pPr>
        <w:tabs>
          <w:tab w:val="left" w:pos="420"/>
        </w:tabs>
        <w:ind w:left="0" w:firstLine="0"/>
      </w:pPr>
      <w:rPr>
        <w:rFonts w:hint="default" w:ascii="Times New Roman" w:hAnsi="Times New Roman" w:eastAsia="宋体" w:cs="宋体"/>
        <w:b/>
        <w:bCs/>
        <w:color w:val="auto"/>
        <w:sz w:val="24"/>
        <w:szCs w:val="24"/>
      </w:rPr>
    </w:lvl>
    <w:lvl w:ilvl="6" w:tentative="0">
      <w:start w:val="1"/>
      <w:numFmt w:val="decimal"/>
      <w:lvlRestart w:val="2"/>
      <w:pStyle w:val="85"/>
      <w:lvlText w:val="表%1.%2-%7"/>
      <w:lvlJc w:val="center"/>
      <w:pPr>
        <w:tabs>
          <w:tab w:val="left" w:pos="420"/>
        </w:tabs>
        <w:ind w:left="1296" w:hanging="1296"/>
      </w:pPr>
      <w:rPr>
        <w:rFonts w:hint="default" w:ascii="Times New Roman" w:hAnsi="Times New Roman" w:eastAsia="宋体" w:cs="宋体"/>
        <w:sz w:val="21"/>
        <w:szCs w:val="21"/>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1392E80B"/>
    <w:multiLevelType w:val="multilevel"/>
    <w:tmpl w:val="1392E80B"/>
    <w:lvl w:ilvl="0" w:tentative="0">
      <w:start w:val="1"/>
      <w:numFmt w:val="decimal"/>
      <w:lvlText w:val="%1"/>
      <w:lvlJc w:val="center"/>
      <w:pPr>
        <w:tabs>
          <w:tab w:val="left" w:pos="277"/>
        </w:tabs>
        <w:ind w:left="397" w:hanging="397"/>
      </w:pPr>
      <w:rPr>
        <w:rFonts w:hint="default" w:ascii="Times New Roman" w:hAnsi="Times New Roman" w:eastAsia="宋体" w:cs="Times New Roman"/>
        <w:b/>
        <w:bCs/>
        <w:sz w:val="36"/>
        <w:szCs w:val="36"/>
      </w:rPr>
    </w:lvl>
    <w:lvl w:ilvl="1" w:tentative="0">
      <w:start w:val="1"/>
      <w:numFmt w:val="decimal"/>
      <w:lvlText w:val="%1.%2"/>
      <w:lvlJc w:val="left"/>
      <w:pPr>
        <w:ind w:left="567" w:hanging="567"/>
      </w:pPr>
      <w:rPr>
        <w:rFonts w:hint="default" w:ascii="Times New Roman" w:hAnsi="Times New Roman" w:eastAsia="宋体" w:cs="Times New Roman"/>
        <w:b/>
        <w:bCs/>
        <w:sz w:val="32"/>
        <w:szCs w:val="32"/>
      </w:rPr>
    </w:lvl>
    <w:lvl w:ilvl="2" w:tentative="0">
      <w:start w:val="1"/>
      <w:numFmt w:val="decimal"/>
      <w:lvlText w:val="%1.%2.%3"/>
      <w:lvlJc w:val="left"/>
      <w:pPr>
        <w:ind w:left="949" w:hanging="709"/>
      </w:pPr>
      <w:rPr>
        <w:rFonts w:hint="default" w:ascii="Times New Roman" w:hAnsi="Times New Roman" w:eastAsia="宋体" w:cs="Times New Roman"/>
        <w:b/>
        <w:bCs/>
        <w:sz w:val="30"/>
        <w:szCs w:val="30"/>
      </w:rPr>
    </w:lvl>
    <w:lvl w:ilvl="3" w:tentative="0">
      <w:start w:val="1"/>
      <w:numFmt w:val="decimal"/>
      <w:lvlRestart w:val="2"/>
      <w:lvlText w:val="表%1.%2-%4"/>
      <w:lvlJc w:val="center"/>
      <w:pPr>
        <w:tabs>
          <w:tab w:val="left" w:pos="850"/>
        </w:tabs>
        <w:ind w:left="569" w:hanging="569"/>
      </w:pPr>
      <w:rPr>
        <w:rFonts w:hint="default" w:ascii="Times New Roman" w:hAnsi="Times New Roman" w:eastAsia="宋体" w:cs="Times New Roman"/>
        <w:b/>
        <w:bCs/>
        <w:sz w:val="21"/>
        <w:szCs w:val="21"/>
      </w:rPr>
    </w:lvl>
    <w:lvl w:ilvl="4" w:tentative="0">
      <w:start w:val="1"/>
      <w:numFmt w:val="decimal"/>
      <w:lvlRestart w:val="2"/>
      <w:pStyle w:val="48"/>
      <w:lvlText w:val="图%1.%2-%5"/>
      <w:lvlJc w:val="center"/>
      <w:pPr>
        <w:tabs>
          <w:tab w:val="left" w:pos="850"/>
        </w:tabs>
        <w:ind w:left="567" w:hanging="567"/>
      </w:pPr>
      <w:rPr>
        <w:rFonts w:hint="default" w:ascii="Times New Roman" w:hAnsi="Times New Roman" w:eastAsia="宋体" w:cs="Times New Roman"/>
        <w:b/>
        <w:bCs/>
        <w:sz w:val="21"/>
        <w:szCs w:val="21"/>
      </w:rPr>
    </w:lvl>
    <w:lvl w:ilvl="5" w:tentative="0">
      <w:start w:val="1"/>
      <w:numFmt w:val="decimal"/>
      <w:lvlRestart w:val="3"/>
      <w:lvlText w:val="%1.%2.%3.%6"/>
      <w:lvlJc w:val="left"/>
      <w:pPr>
        <w:ind w:left="1134" w:hanging="1134"/>
      </w:pPr>
      <w:rPr>
        <w:rFonts w:hint="default" w:ascii="Times New Roman" w:hAnsi="Times New Roman" w:eastAsia="宋体" w:cs="Times New Roman"/>
        <w:b/>
        <w:bCs/>
        <w:sz w:val="24"/>
        <w:szCs w:val="24"/>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23DECDDE"/>
    <w:multiLevelType w:val="multilevel"/>
    <w:tmpl w:val="23DECDDE"/>
    <w:lvl w:ilvl="0" w:tentative="0">
      <w:start w:val="1"/>
      <w:numFmt w:val="decimal"/>
      <w:lvlText w:val="%1"/>
      <w:lvlJc w:val="center"/>
      <w:pPr>
        <w:tabs>
          <w:tab w:val="left" w:pos="277"/>
        </w:tabs>
        <w:ind w:left="397" w:hanging="397"/>
      </w:pPr>
      <w:rPr>
        <w:rFonts w:hint="default" w:ascii="Times New Roman" w:hAnsi="Times New Roman" w:eastAsia="宋体" w:cs="Times New Roman"/>
        <w:b/>
        <w:bCs/>
        <w:sz w:val="36"/>
        <w:szCs w:val="36"/>
      </w:rPr>
    </w:lvl>
    <w:lvl w:ilvl="1" w:tentative="0">
      <w:start w:val="1"/>
      <w:numFmt w:val="decimal"/>
      <w:lvlText w:val="%1.%2"/>
      <w:lvlJc w:val="left"/>
      <w:pPr>
        <w:ind w:left="567" w:hanging="567"/>
      </w:pPr>
      <w:rPr>
        <w:rFonts w:hint="default" w:ascii="Times New Roman" w:hAnsi="Times New Roman" w:eastAsia="宋体" w:cs="Times New Roman"/>
        <w:b/>
        <w:bCs/>
        <w:sz w:val="32"/>
        <w:szCs w:val="32"/>
      </w:rPr>
    </w:lvl>
    <w:lvl w:ilvl="2" w:tentative="0">
      <w:start w:val="1"/>
      <w:numFmt w:val="decimal"/>
      <w:lvlText w:val="%1.%2.%3"/>
      <w:lvlJc w:val="left"/>
      <w:pPr>
        <w:ind w:left="709" w:hanging="709"/>
      </w:pPr>
      <w:rPr>
        <w:rFonts w:hint="default" w:ascii="Times New Roman" w:hAnsi="Times New Roman" w:eastAsia="宋体" w:cs="Times New Roman"/>
        <w:b/>
        <w:bCs/>
        <w:sz w:val="30"/>
        <w:szCs w:val="30"/>
      </w:rPr>
    </w:lvl>
    <w:lvl w:ilvl="3" w:tentative="0">
      <w:start w:val="1"/>
      <w:numFmt w:val="decimal"/>
      <w:lvlRestart w:val="2"/>
      <w:suff w:val="space"/>
      <w:lvlText w:val="表%1.%2-%4"/>
      <w:lvlJc w:val="center"/>
      <w:pPr>
        <w:ind w:left="569" w:hanging="569"/>
      </w:pPr>
      <w:rPr>
        <w:rFonts w:hint="default" w:ascii="Times New Roman" w:hAnsi="Times New Roman" w:eastAsia="宋体" w:cs="Times New Roman"/>
        <w:b/>
        <w:bCs/>
        <w:sz w:val="21"/>
        <w:szCs w:val="21"/>
      </w:rPr>
    </w:lvl>
    <w:lvl w:ilvl="4" w:tentative="0">
      <w:start w:val="1"/>
      <w:numFmt w:val="decimal"/>
      <w:lvlRestart w:val="2"/>
      <w:suff w:val="space"/>
      <w:lvlText w:val="图%1.%2-%5"/>
      <w:lvlJc w:val="center"/>
      <w:pPr>
        <w:ind w:left="567" w:hanging="567"/>
      </w:pPr>
      <w:rPr>
        <w:rFonts w:hint="default" w:ascii="Times New Roman" w:hAnsi="Times New Roman" w:eastAsia="宋体" w:cs="Times New Roman"/>
        <w:b/>
        <w:bCs/>
        <w:sz w:val="21"/>
        <w:szCs w:val="21"/>
      </w:rPr>
    </w:lvl>
    <w:lvl w:ilvl="5" w:tentative="0">
      <w:start w:val="1"/>
      <w:numFmt w:val="decimal"/>
      <w:lvlRestart w:val="3"/>
      <w:pStyle w:val="59"/>
      <w:lvlText w:val="%1.%2.%3.%6"/>
      <w:lvlJc w:val="left"/>
      <w:pPr>
        <w:ind w:left="1134" w:hanging="1134"/>
      </w:pPr>
      <w:rPr>
        <w:rFonts w:hint="default" w:ascii="Times New Roman" w:hAnsi="Times New Roman" w:eastAsia="宋体" w:cs="Times New Roman"/>
        <w:b/>
        <w:bCs/>
        <w:sz w:val="24"/>
        <w:szCs w:val="24"/>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24E2BE70"/>
    <w:multiLevelType w:val="multilevel"/>
    <w:tmpl w:val="24E2BE70"/>
    <w:lvl w:ilvl="0" w:tentative="0">
      <w:start w:val="1"/>
      <w:numFmt w:val="decimal"/>
      <w:lvlText w:val="%1 "/>
      <w:lvlJc w:val="left"/>
      <w:pPr>
        <w:ind w:left="425" w:hanging="425"/>
      </w:pPr>
      <w:rPr>
        <w:rFonts w:hint="default" w:ascii="Times New Roman" w:hAnsi="Times New Roman" w:eastAsia="宋体" w:cs="宋体"/>
        <w:sz w:val="36"/>
        <w:szCs w:val="36"/>
      </w:rPr>
    </w:lvl>
    <w:lvl w:ilvl="1" w:tentative="0">
      <w:start w:val="1"/>
      <w:numFmt w:val="decimal"/>
      <w:lvlText w:val="%1.%2 "/>
      <w:lvlJc w:val="left"/>
      <w:pPr>
        <w:ind w:left="567" w:hanging="567"/>
      </w:pPr>
      <w:rPr>
        <w:rFonts w:hint="default" w:ascii="Times New Roman" w:hAnsi="Times New Roman" w:eastAsia="宋体" w:cs="宋体"/>
        <w:sz w:val="30"/>
        <w:szCs w:val="30"/>
      </w:rPr>
    </w:lvl>
    <w:lvl w:ilvl="2" w:tentative="0">
      <w:start w:val="1"/>
      <w:numFmt w:val="decimal"/>
      <w:lvlText w:val="%1.%2.%3 "/>
      <w:lvlJc w:val="left"/>
      <w:pPr>
        <w:ind w:left="709" w:hanging="709"/>
      </w:pPr>
      <w:rPr>
        <w:rFonts w:hint="default" w:ascii="Times New Roman" w:hAnsi="Times New Roman" w:eastAsia="宋体" w:cs="Times New Roman"/>
        <w:sz w:val="28"/>
        <w:szCs w:val="28"/>
      </w:rPr>
    </w:lvl>
    <w:lvl w:ilvl="3" w:tentative="0">
      <w:start w:val="1"/>
      <w:numFmt w:val="decimal"/>
      <w:pStyle w:val="5"/>
      <w:lvlText w:val="%1.%2.%3.%4 "/>
      <w:lvlJc w:val="left"/>
      <w:pPr>
        <w:ind w:left="850" w:hanging="850"/>
      </w:pPr>
      <w:rPr>
        <w:rFonts w:hint="default" w:ascii="Times New Roman" w:hAnsi="Times New Roman" w:eastAsia="宋体" w:cs="Times New Roman"/>
        <w:sz w:val="24"/>
        <w:szCs w:val="24"/>
      </w:rPr>
    </w:lvl>
    <w:lvl w:ilvl="4" w:tentative="0">
      <w:start w:val="1"/>
      <w:numFmt w:val="decimal"/>
      <w:lvlRestart w:val="2"/>
      <w:lvlText w:val="表%1.%2-%5 "/>
      <w:lvlJc w:val="left"/>
      <w:pPr>
        <w:ind w:left="991" w:hanging="991"/>
      </w:pPr>
      <w:rPr>
        <w:rFonts w:hint="default" w:ascii="Times New Roman" w:hAnsi="Times New Roman" w:eastAsia="宋体" w:cs="Times New Roman"/>
        <w:sz w:val="24"/>
        <w:szCs w:val="24"/>
      </w:rPr>
    </w:lvl>
    <w:lvl w:ilvl="5" w:tentative="0">
      <w:start w:val="1"/>
      <w:numFmt w:val="decimal"/>
      <w:lvlRestart w:val="2"/>
      <w:lvlText w:val="图%1.%2-%6 "/>
      <w:lvlJc w:val="left"/>
      <w:pPr>
        <w:ind w:left="1134" w:hanging="1134"/>
      </w:pPr>
      <w:rPr>
        <w:rFonts w:hint="default" w:ascii="Times New Roman" w:hAnsi="Times New Roman" w:eastAsia="宋体" w:cs="Times New Roman"/>
        <w:sz w:val="24"/>
        <w:szCs w:val="24"/>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331418C1"/>
    <w:multiLevelType w:val="multilevel"/>
    <w:tmpl w:val="331418C1"/>
    <w:lvl w:ilvl="0" w:tentative="0">
      <w:start w:val="1"/>
      <w:numFmt w:val="decimal"/>
      <w:lvlText w:val="%1"/>
      <w:lvlJc w:val="center"/>
      <w:pPr>
        <w:tabs>
          <w:tab w:val="left" w:pos="277"/>
        </w:tabs>
        <w:ind w:left="397" w:hanging="397"/>
      </w:pPr>
      <w:rPr>
        <w:rFonts w:hint="default" w:ascii="Times New Roman" w:hAnsi="Times New Roman" w:eastAsia="宋体" w:cs="Times New Roman"/>
        <w:b/>
        <w:bCs/>
        <w:sz w:val="36"/>
        <w:szCs w:val="36"/>
      </w:rPr>
    </w:lvl>
    <w:lvl w:ilvl="1" w:tentative="0">
      <w:start w:val="1"/>
      <w:numFmt w:val="decimal"/>
      <w:lvlText w:val="%1.%2"/>
      <w:lvlJc w:val="left"/>
      <w:pPr>
        <w:ind w:left="567" w:hanging="567"/>
      </w:pPr>
      <w:rPr>
        <w:rFonts w:hint="default" w:ascii="Times New Roman" w:hAnsi="Times New Roman" w:eastAsia="宋体" w:cs="Times New Roman"/>
        <w:b/>
        <w:bCs/>
        <w:sz w:val="32"/>
        <w:szCs w:val="32"/>
      </w:rPr>
    </w:lvl>
    <w:lvl w:ilvl="2" w:tentative="0">
      <w:start w:val="1"/>
      <w:numFmt w:val="decimal"/>
      <w:lvlText w:val="%1.%2.%3"/>
      <w:lvlJc w:val="left"/>
      <w:pPr>
        <w:ind w:left="949" w:hanging="709"/>
      </w:pPr>
      <w:rPr>
        <w:rFonts w:hint="default" w:ascii="Times New Roman" w:hAnsi="Times New Roman" w:eastAsia="宋体" w:cs="Times New Roman"/>
        <w:b/>
        <w:bCs/>
        <w:sz w:val="30"/>
        <w:szCs w:val="30"/>
      </w:rPr>
    </w:lvl>
    <w:lvl w:ilvl="3" w:tentative="0">
      <w:start w:val="1"/>
      <w:numFmt w:val="decimal"/>
      <w:lvlRestart w:val="2"/>
      <w:pStyle w:val="40"/>
      <w:lvlText w:val="表%1.%2-%4"/>
      <w:lvlJc w:val="center"/>
      <w:pPr>
        <w:tabs>
          <w:tab w:val="left" w:pos="850"/>
        </w:tabs>
        <w:ind w:left="569" w:hanging="569"/>
      </w:pPr>
      <w:rPr>
        <w:rFonts w:hint="default" w:ascii="Times New Roman" w:hAnsi="Times New Roman" w:eastAsia="宋体" w:cs="Times New Roman"/>
        <w:b/>
        <w:bCs/>
        <w:sz w:val="21"/>
        <w:szCs w:val="21"/>
      </w:rPr>
    </w:lvl>
    <w:lvl w:ilvl="4" w:tentative="0">
      <w:start w:val="1"/>
      <w:numFmt w:val="decimal"/>
      <w:lvlRestart w:val="2"/>
      <w:lvlText w:val="图%1.%2-%5"/>
      <w:lvlJc w:val="center"/>
      <w:pPr>
        <w:tabs>
          <w:tab w:val="left" w:pos="850"/>
        </w:tabs>
        <w:ind w:left="567" w:hanging="567"/>
      </w:pPr>
      <w:rPr>
        <w:rFonts w:hint="default" w:ascii="Times New Roman" w:hAnsi="Times New Roman" w:eastAsia="宋体" w:cs="Times New Roman"/>
        <w:b/>
        <w:bCs/>
        <w:sz w:val="21"/>
        <w:szCs w:val="21"/>
      </w:rPr>
    </w:lvl>
    <w:lvl w:ilvl="5" w:tentative="0">
      <w:start w:val="1"/>
      <w:numFmt w:val="decimal"/>
      <w:lvlRestart w:val="3"/>
      <w:lvlText w:val="%1.%2.%3.%6"/>
      <w:lvlJc w:val="left"/>
      <w:pPr>
        <w:ind w:left="1134" w:hanging="1134"/>
      </w:pPr>
      <w:rPr>
        <w:rFonts w:hint="default" w:ascii="Times New Roman" w:hAnsi="Times New Roman" w:eastAsia="宋体" w:cs="Times New Roman"/>
        <w:b/>
        <w:bCs/>
        <w:sz w:val="24"/>
        <w:szCs w:val="24"/>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391C97D0"/>
    <w:multiLevelType w:val="singleLevel"/>
    <w:tmpl w:val="391C97D0"/>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7">
    <w:nsid w:val="42E68E34"/>
    <w:multiLevelType w:val="multilevel"/>
    <w:tmpl w:val="42E68E34"/>
    <w:lvl w:ilvl="0" w:tentative="0">
      <w:start w:val="1"/>
      <w:numFmt w:val="chineseCounting"/>
      <w:pStyle w:val="50"/>
      <w:suff w:val="nothing"/>
      <w:lvlText w:val="%1、"/>
      <w:lvlJc w:val="left"/>
      <w:pPr>
        <w:tabs>
          <w:tab w:val="left" w:pos="0"/>
        </w:tabs>
        <w:ind w:left="425" w:hanging="425"/>
      </w:pPr>
      <w:rPr>
        <w:rFonts w:hint="eastAsia" w:ascii="黑体" w:hAnsi="黑体" w:eastAsia="黑体" w:cs="黑体"/>
        <w:b/>
        <w:bCs/>
        <w:sz w:val="30"/>
        <w:szCs w:val="30"/>
      </w:rPr>
    </w:lvl>
    <w:lvl w:ilvl="1" w:tentative="0">
      <w:start w:val="1"/>
      <w:numFmt w:val="decimal"/>
      <w:isLgl/>
      <w:lvlText w:val="%2、"/>
      <w:lvlJc w:val="left"/>
      <w:pPr>
        <w:tabs>
          <w:tab w:val="left" w:pos="420"/>
        </w:tabs>
        <w:ind w:left="425" w:hanging="425"/>
      </w:pPr>
      <w:rPr>
        <w:rFonts w:hint="eastAsia" w:ascii="宋体" w:hAnsi="宋体" w:eastAsia="宋体" w:cs="宋体"/>
        <w:b/>
        <w:bCs/>
        <w:sz w:val="24"/>
        <w:szCs w:val="24"/>
      </w:rPr>
    </w:lvl>
    <w:lvl w:ilvl="2" w:tentative="0">
      <w:start w:val="1"/>
      <w:numFmt w:val="decimal"/>
      <w:isLgl/>
      <w:lvlText w:val="%2.%3."/>
      <w:lvlJc w:val="left"/>
      <w:pPr>
        <w:tabs>
          <w:tab w:val="left" w:pos="420"/>
        </w:tabs>
        <w:ind w:left="0" w:firstLine="0"/>
      </w:pPr>
      <w:rPr>
        <w:rFonts w:hint="eastAsia" w:ascii="宋体" w:hAnsi="宋体" w:eastAsia="宋体" w:cs="宋体"/>
        <w:sz w:val="24"/>
        <w:szCs w:val="24"/>
      </w:rPr>
    </w:lvl>
    <w:lvl w:ilvl="3" w:tentative="0">
      <w:start w:val="1"/>
      <w:numFmt w:val="decimal"/>
      <w:lvlRestart w:val="1"/>
      <w:pStyle w:val="52"/>
      <w:isLgl/>
      <w:suff w:val="space"/>
      <w:lvlText w:val="表%1-%4"/>
      <w:lvlJc w:val="left"/>
      <w:pPr>
        <w:ind w:left="113" w:hanging="113"/>
      </w:pPr>
      <w:rPr>
        <w:rFonts w:hint="eastAsia" w:ascii="宋体" w:hAnsi="宋体" w:eastAsia="宋体" w:cs="宋体"/>
        <w:b/>
        <w:bCs/>
        <w:sz w:val="21"/>
        <w:szCs w:val="21"/>
      </w:rPr>
    </w:lvl>
    <w:lvl w:ilvl="4" w:tentative="0">
      <w:start w:val="1"/>
      <w:numFmt w:val="decimal"/>
      <w:lvlRestart w:val="1"/>
      <w:pStyle w:val="53"/>
      <w:isLgl/>
      <w:suff w:val="space"/>
      <w:lvlText w:val="图%1-%5"/>
      <w:lvlJc w:val="left"/>
      <w:pPr>
        <w:ind w:left="113" w:hanging="113"/>
      </w:pPr>
      <w:rPr>
        <w:rFonts w:hint="eastAsia" w:ascii="宋体" w:hAnsi="宋体" w:eastAsia="宋体" w:cs="宋体"/>
        <w:b/>
        <w:bCs/>
        <w:color w:val="auto"/>
        <w:sz w:val="21"/>
        <w:szCs w:val="21"/>
      </w:rPr>
    </w:lvl>
    <w:lvl w:ilvl="5" w:tentative="0">
      <w:start w:val="1"/>
      <w:numFmt w:val="decimal"/>
      <w:lvlRestart w:val="2"/>
      <w:suff w:val="nothing"/>
      <w:lvlText w:val="（%6）"/>
      <w:lvlJc w:val="left"/>
      <w:pPr>
        <w:ind w:left="1134" w:hanging="1134"/>
      </w:pPr>
      <w:rPr>
        <w:rFonts w:hint="eastAsia" w:ascii="宋体" w:hAnsi="宋体" w:eastAsia="宋体" w:cs="宋体"/>
        <w:b/>
        <w:bCs/>
        <w:sz w:val="24"/>
        <w:szCs w:val="24"/>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8">
    <w:nsid w:val="451E34B7"/>
    <w:multiLevelType w:val="multilevel"/>
    <w:tmpl w:val="451E34B7"/>
    <w:lvl w:ilvl="0" w:tentative="0">
      <w:start w:val="1"/>
      <w:numFmt w:val="decimal"/>
      <w:lvlText w:val="%1"/>
      <w:lvlJc w:val="center"/>
      <w:pPr>
        <w:tabs>
          <w:tab w:val="left" w:pos="277"/>
        </w:tabs>
        <w:ind w:left="397" w:hanging="397"/>
      </w:pPr>
      <w:rPr>
        <w:rFonts w:hint="default" w:ascii="Times New Roman" w:hAnsi="Times New Roman" w:eastAsia="宋体" w:cs="Times New Roman"/>
        <w:b/>
        <w:bCs/>
        <w:sz w:val="36"/>
        <w:szCs w:val="36"/>
      </w:rPr>
    </w:lvl>
    <w:lvl w:ilvl="1" w:tentative="0">
      <w:start w:val="1"/>
      <w:numFmt w:val="decimal"/>
      <w:pStyle w:val="46"/>
      <w:lvlText w:val="%1.%2"/>
      <w:lvlJc w:val="left"/>
      <w:pPr>
        <w:ind w:left="567" w:hanging="567"/>
      </w:pPr>
      <w:rPr>
        <w:rFonts w:hint="default" w:ascii="Times New Roman" w:hAnsi="Times New Roman" w:eastAsia="宋体" w:cs="Times New Roman"/>
        <w:b/>
        <w:bCs/>
        <w:sz w:val="32"/>
        <w:szCs w:val="32"/>
      </w:rPr>
    </w:lvl>
    <w:lvl w:ilvl="2" w:tentative="0">
      <w:start w:val="1"/>
      <w:numFmt w:val="decimal"/>
      <w:pStyle w:val="47"/>
      <w:lvlText w:val="%1.%2.%3"/>
      <w:lvlJc w:val="left"/>
      <w:pPr>
        <w:ind w:left="949" w:hanging="709"/>
      </w:pPr>
      <w:rPr>
        <w:rFonts w:hint="default" w:ascii="Times New Roman" w:hAnsi="Times New Roman" w:eastAsia="宋体" w:cs="Times New Roman"/>
        <w:b/>
        <w:bCs/>
        <w:sz w:val="30"/>
        <w:szCs w:val="30"/>
      </w:rPr>
    </w:lvl>
    <w:lvl w:ilvl="3" w:tentative="0">
      <w:start w:val="1"/>
      <w:numFmt w:val="decimal"/>
      <w:lvlRestart w:val="2"/>
      <w:lvlText w:val="表%1.%2-%4"/>
      <w:lvlJc w:val="center"/>
      <w:pPr>
        <w:tabs>
          <w:tab w:val="left" w:pos="850"/>
        </w:tabs>
        <w:ind w:left="569" w:hanging="569"/>
      </w:pPr>
      <w:rPr>
        <w:rFonts w:hint="default" w:ascii="Times New Roman" w:hAnsi="Times New Roman" w:eastAsia="宋体" w:cs="Times New Roman"/>
        <w:b/>
        <w:bCs/>
        <w:sz w:val="21"/>
        <w:szCs w:val="21"/>
      </w:rPr>
    </w:lvl>
    <w:lvl w:ilvl="4" w:tentative="0">
      <w:start w:val="1"/>
      <w:numFmt w:val="decimal"/>
      <w:lvlRestart w:val="2"/>
      <w:lvlText w:val="图%1.%2-%5"/>
      <w:lvlJc w:val="center"/>
      <w:pPr>
        <w:tabs>
          <w:tab w:val="left" w:pos="850"/>
        </w:tabs>
        <w:ind w:left="567" w:hanging="567"/>
      </w:pPr>
      <w:rPr>
        <w:rFonts w:hint="default" w:ascii="Times New Roman" w:hAnsi="Times New Roman" w:eastAsia="宋体" w:cs="Times New Roman"/>
        <w:b/>
        <w:bCs/>
        <w:sz w:val="21"/>
        <w:szCs w:val="21"/>
      </w:rPr>
    </w:lvl>
    <w:lvl w:ilvl="5" w:tentative="0">
      <w:start w:val="1"/>
      <w:numFmt w:val="decimal"/>
      <w:lvlRestart w:val="3"/>
      <w:lvlText w:val="%1.%2.%3.%6"/>
      <w:lvlJc w:val="left"/>
      <w:pPr>
        <w:ind w:left="1134" w:hanging="1134"/>
      </w:pPr>
      <w:rPr>
        <w:rFonts w:hint="default" w:ascii="Times New Roman" w:hAnsi="Times New Roman" w:eastAsia="宋体" w:cs="Times New Roman"/>
        <w:b/>
        <w:bCs/>
        <w:sz w:val="24"/>
        <w:szCs w:val="24"/>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45D4DD0D"/>
    <w:multiLevelType w:val="multilevel"/>
    <w:tmpl w:val="45D4DD0D"/>
    <w:lvl w:ilvl="0" w:tentative="0">
      <w:start w:val="1"/>
      <w:numFmt w:val="decimal"/>
      <w:pStyle w:val="49"/>
      <w:lvlText w:val="%1"/>
      <w:lvlJc w:val="center"/>
      <w:pPr>
        <w:tabs>
          <w:tab w:val="left" w:pos="277"/>
        </w:tabs>
        <w:ind w:left="397" w:hanging="397"/>
      </w:pPr>
      <w:rPr>
        <w:rFonts w:hint="default" w:ascii="Times New Roman" w:hAnsi="Times New Roman" w:eastAsia="宋体" w:cs="Times New Roman"/>
        <w:b/>
        <w:bCs/>
        <w:sz w:val="36"/>
        <w:szCs w:val="36"/>
      </w:rPr>
    </w:lvl>
    <w:lvl w:ilvl="1" w:tentative="0">
      <w:start w:val="1"/>
      <w:numFmt w:val="decimal"/>
      <w:lvlText w:val="%1.%2"/>
      <w:lvlJc w:val="left"/>
      <w:pPr>
        <w:ind w:left="567" w:hanging="567"/>
      </w:pPr>
      <w:rPr>
        <w:rFonts w:hint="default" w:ascii="Times New Roman" w:hAnsi="Times New Roman" w:eastAsia="宋体" w:cs="Times New Roman"/>
        <w:b/>
        <w:bCs/>
        <w:sz w:val="32"/>
        <w:szCs w:val="32"/>
      </w:rPr>
    </w:lvl>
    <w:lvl w:ilvl="2" w:tentative="0">
      <w:start w:val="1"/>
      <w:numFmt w:val="decimal"/>
      <w:lvlText w:val="%1.%2.%3"/>
      <w:lvlJc w:val="left"/>
      <w:pPr>
        <w:ind w:left="949" w:hanging="709"/>
      </w:pPr>
      <w:rPr>
        <w:rFonts w:hint="default" w:ascii="Times New Roman" w:hAnsi="Times New Roman" w:eastAsia="宋体" w:cs="Times New Roman"/>
        <w:b/>
        <w:bCs/>
        <w:sz w:val="30"/>
        <w:szCs w:val="30"/>
      </w:rPr>
    </w:lvl>
    <w:lvl w:ilvl="3" w:tentative="0">
      <w:start w:val="1"/>
      <w:numFmt w:val="decimal"/>
      <w:lvlRestart w:val="2"/>
      <w:lvlText w:val="表%1.%2-%4"/>
      <w:lvlJc w:val="center"/>
      <w:pPr>
        <w:tabs>
          <w:tab w:val="left" w:pos="850"/>
        </w:tabs>
        <w:ind w:left="569" w:hanging="569"/>
      </w:pPr>
      <w:rPr>
        <w:rFonts w:hint="default" w:ascii="Times New Roman" w:hAnsi="Times New Roman" w:eastAsia="宋体" w:cs="Times New Roman"/>
        <w:b/>
        <w:bCs/>
        <w:sz w:val="21"/>
        <w:szCs w:val="21"/>
      </w:rPr>
    </w:lvl>
    <w:lvl w:ilvl="4" w:tentative="0">
      <w:start w:val="1"/>
      <w:numFmt w:val="decimal"/>
      <w:lvlRestart w:val="2"/>
      <w:lvlText w:val="图%1.%2-%5"/>
      <w:lvlJc w:val="center"/>
      <w:pPr>
        <w:tabs>
          <w:tab w:val="left" w:pos="850"/>
        </w:tabs>
        <w:ind w:left="567" w:hanging="567"/>
      </w:pPr>
      <w:rPr>
        <w:rFonts w:hint="default" w:ascii="Times New Roman" w:hAnsi="Times New Roman" w:eastAsia="宋体" w:cs="Times New Roman"/>
        <w:b/>
        <w:bCs/>
        <w:sz w:val="21"/>
        <w:szCs w:val="21"/>
      </w:rPr>
    </w:lvl>
    <w:lvl w:ilvl="5" w:tentative="0">
      <w:start w:val="1"/>
      <w:numFmt w:val="decimal"/>
      <w:lvlRestart w:val="3"/>
      <w:lvlText w:val="%1.%2.%3.%6"/>
      <w:lvlJc w:val="left"/>
      <w:pPr>
        <w:ind w:left="1134" w:hanging="1134"/>
      </w:pPr>
      <w:rPr>
        <w:rFonts w:hint="default" w:ascii="Times New Roman" w:hAnsi="Times New Roman" w:eastAsia="宋体" w:cs="Times New Roman"/>
        <w:b/>
        <w:bCs/>
        <w:sz w:val="24"/>
        <w:szCs w:val="24"/>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586B53B3"/>
    <w:multiLevelType w:val="multilevel"/>
    <w:tmpl w:val="586B53B3"/>
    <w:lvl w:ilvl="0" w:tentative="0">
      <w:start w:val="1"/>
      <w:numFmt w:val="decimal"/>
      <w:lvlText w:val="%1"/>
      <w:lvlJc w:val="center"/>
      <w:pPr>
        <w:tabs>
          <w:tab w:val="left" w:pos="277"/>
        </w:tabs>
        <w:ind w:left="397" w:hanging="397"/>
      </w:pPr>
      <w:rPr>
        <w:rFonts w:hint="default" w:ascii="宋体" w:hAnsi="宋体" w:eastAsia="宋体" w:cs="宋体"/>
        <w:b/>
        <w:bCs/>
        <w:sz w:val="36"/>
        <w:szCs w:val="36"/>
      </w:rPr>
    </w:lvl>
    <w:lvl w:ilvl="1" w:tentative="0">
      <w:start w:val="1"/>
      <w:numFmt w:val="decimal"/>
      <w:pStyle w:val="45"/>
      <w:lvlText w:val="%1.%2"/>
      <w:lvlJc w:val="left"/>
      <w:pPr>
        <w:ind w:left="567" w:hanging="567"/>
      </w:pPr>
      <w:rPr>
        <w:rFonts w:hint="default" w:ascii="宋体" w:hAnsi="宋体" w:eastAsia="宋体" w:cs="宋体"/>
        <w:b/>
        <w:bCs/>
        <w:sz w:val="32"/>
        <w:szCs w:val="32"/>
      </w:rPr>
    </w:lvl>
    <w:lvl w:ilvl="2" w:tentative="0">
      <w:start w:val="1"/>
      <w:numFmt w:val="decimal"/>
      <w:lvlText w:val="%1.%2.%3"/>
      <w:lvlJc w:val="left"/>
      <w:pPr>
        <w:ind w:left="709" w:hanging="709"/>
      </w:pPr>
      <w:rPr>
        <w:rFonts w:hint="default" w:ascii="宋体" w:hAnsi="宋体" w:eastAsia="宋体" w:cs="宋体"/>
        <w:b/>
        <w:bCs/>
        <w:sz w:val="30"/>
        <w:szCs w:val="30"/>
      </w:rPr>
    </w:lvl>
    <w:lvl w:ilvl="3" w:tentative="0">
      <w:start w:val="1"/>
      <w:numFmt w:val="decimal"/>
      <w:lvlRestart w:val="2"/>
      <w:lvlText w:val="表%1.%2-%4"/>
      <w:lvlJc w:val="center"/>
      <w:pPr>
        <w:tabs>
          <w:tab w:val="left" w:pos="850"/>
        </w:tabs>
        <w:ind w:left="569" w:hanging="569"/>
      </w:pPr>
      <w:rPr>
        <w:rFonts w:hint="default" w:ascii="宋体" w:hAnsi="宋体" w:eastAsia="宋体" w:cs="宋体"/>
        <w:b/>
        <w:bCs/>
        <w:sz w:val="21"/>
        <w:szCs w:val="21"/>
      </w:rPr>
    </w:lvl>
    <w:lvl w:ilvl="4" w:tentative="0">
      <w:start w:val="1"/>
      <w:numFmt w:val="decimal"/>
      <w:lvlRestart w:val="1"/>
      <w:lvlText w:val="图%1.%2.%5"/>
      <w:lvlJc w:val="center"/>
      <w:pPr>
        <w:tabs>
          <w:tab w:val="left" w:pos="0"/>
        </w:tabs>
        <w:ind w:left="0" w:firstLine="0"/>
      </w:pPr>
      <w:rPr>
        <w:rFonts w:hint="default" w:ascii="宋体" w:hAnsi="宋体" w:eastAsia="宋体" w:cs="宋体"/>
        <w:b/>
        <w:bCs/>
        <w:sz w:val="21"/>
        <w:szCs w:val="21"/>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626E6D1E"/>
    <w:multiLevelType w:val="singleLevel"/>
    <w:tmpl w:val="626E6D1E"/>
    <w:lvl w:ilvl="0" w:tentative="0">
      <w:start w:val="1"/>
      <w:numFmt w:val="decimal"/>
      <w:suff w:val="nothing"/>
      <w:lvlText w:val="%1"/>
      <w:lvlJc w:val="left"/>
      <w:pPr>
        <w:tabs>
          <w:tab w:val="left" w:pos="0"/>
        </w:tabs>
        <w:ind w:left="0" w:firstLine="0"/>
      </w:pPr>
      <w:rPr>
        <w:rFonts w:hint="default"/>
      </w:rPr>
    </w:lvl>
  </w:abstractNum>
  <w:num w:numId="1">
    <w:abstractNumId w:val="4"/>
  </w:num>
  <w:num w:numId="2">
    <w:abstractNumId w:val="6"/>
  </w:num>
  <w:num w:numId="3">
    <w:abstractNumId w:val="5"/>
  </w:num>
  <w:num w:numId="4">
    <w:abstractNumId w:val="0"/>
  </w:num>
  <w:num w:numId="5">
    <w:abstractNumId w:val="10"/>
  </w:num>
  <w:num w:numId="6">
    <w:abstractNumId w:val="8"/>
  </w:num>
  <w:num w:numId="7">
    <w:abstractNumId w:val="2"/>
  </w:num>
  <w:num w:numId="8">
    <w:abstractNumId w:val="9"/>
  </w:num>
  <w:num w:numId="9">
    <w:abstractNumId w:val="7"/>
  </w:num>
  <w:num w:numId="10">
    <w:abstractNumId w:val="3"/>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mMjczZGIxNTZmZDk1ZjZkNjc3MzUwMjA3ZWE5NzAifQ=="/>
    <w:docVar w:name="KSO_WPS_MARK_KEY" w:val="d5e0e6d5-d7f0-4fb8-889f-b20c84dff7cf"/>
  </w:docVars>
  <w:rsids>
    <w:rsidRoot w:val="00172A27"/>
    <w:rsid w:val="000060B3"/>
    <w:rsid w:val="00021BC4"/>
    <w:rsid w:val="00025568"/>
    <w:rsid w:val="00033B7B"/>
    <w:rsid w:val="000426C5"/>
    <w:rsid w:val="0004364B"/>
    <w:rsid w:val="00046CA0"/>
    <w:rsid w:val="00061B1F"/>
    <w:rsid w:val="000668AD"/>
    <w:rsid w:val="00066ACD"/>
    <w:rsid w:val="00066EBC"/>
    <w:rsid w:val="000733C4"/>
    <w:rsid w:val="00074783"/>
    <w:rsid w:val="000761BB"/>
    <w:rsid w:val="0008070B"/>
    <w:rsid w:val="000810AC"/>
    <w:rsid w:val="00081A00"/>
    <w:rsid w:val="00081A02"/>
    <w:rsid w:val="00082231"/>
    <w:rsid w:val="000853CE"/>
    <w:rsid w:val="00086CD1"/>
    <w:rsid w:val="00092D38"/>
    <w:rsid w:val="0009377B"/>
    <w:rsid w:val="000A20C9"/>
    <w:rsid w:val="000B058F"/>
    <w:rsid w:val="000B4467"/>
    <w:rsid w:val="000B4DB9"/>
    <w:rsid w:val="000C09AC"/>
    <w:rsid w:val="000C767F"/>
    <w:rsid w:val="000D25D1"/>
    <w:rsid w:val="000D453B"/>
    <w:rsid w:val="000D5A44"/>
    <w:rsid w:val="000D6191"/>
    <w:rsid w:val="000E3ED2"/>
    <w:rsid w:val="000E3FC3"/>
    <w:rsid w:val="000E7B1F"/>
    <w:rsid w:val="000F0545"/>
    <w:rsid w:val="00115E07"/>
    <w:rsid w:val="001170B4"/>
    <w:rsid w:val="00131F42"/>
    <w:rsid w:val="001357F1"/>
    <w:rsid w:val="00140B7C"/>
    <w:rsid w:val="00140FA8"/>
    <w:rsid w:val="00142FEB"/>
    <w:rsid w:val="00143A2D"/>
    <w:rsid w:val="00145A41"/>
    <w:rsid w:val="00147AC4"/>
    <w:rsid w:val="00151675"/>
    <w:rsid w:val="00157435"/>
    <w:rsid w:val="00171207"/>
    <w:rsid w:val="00172A27"/>
    <w:rsid w:val="0017504D"/>
    <w:rsid w:val="0017671A"/>
    <w:rsid w:val="00177422"/>
    <w:rsid w:val="00180F33"/>
    <w:rsid w:val="00184590"/>
    <w:rsid w:val="00184A64"/>
    <w:rsid w:val="001870D1"/>
    <w:rsid w:val="0018781E"/>
    <w:rsid w:val="00190A64"/>
    <w:rsid w:val="0019262D"/>
    <w:rsid w:val="001A1B35"/>
    <w:rsid w:val="001A48A2"/>
    <w:rsid w:val="001A6F61"/>
    <w:rsid w:val="001B2907"/>
    <w:rsid w:val="001B72B8"/>
    <w:rsid w:val="001C69B3"/>
    <w:rsid w:val="001D5595"/>
    <w:rsid w:val="001D7874"/>
    <w:rsid w:val="001D7F22"/>
    <w:rsid w:val="001E5304"/>
    <w:rsid w:val="001E6469"/>
    <w:rsid w:val="001F0F17"/>
    <w:rsid w:val="001F3347"/>
    <w:rsid w:val="001F4C57"/>
    <w:rsid w:val="001F69E4"/>
    <w:rsid w:val="001F7505"/>
    <w:rsid w:val="00200193"/>
    <w:rsid w:val="002125B4"/>
    <w:rsid w:val="002155B8"/>
    <w:rsid w:val="00217D36"/>
    <w:rsid w:val="00220622"/>
    <w:rsid w:val="00220A03"/>
    <w:rsid w:val="00224839"/>
    <w:rsid w:val="002249B2"/>
    <w:rsid w:val="00226574"/>
    <w:rsid w:val="002278EC"/>
    <w:rsid w:val="0023280E"/>
    <w:rsid w:val="00236AF3"/>
    <w:rsid w:val="002377D1"/>
    <w:rsid w:val="00243010"/>
    <w:rsid w:val="002506BC"/>
    <w:rsid w:val="00254345"/>
    <w:rsid w:val="00255B12"/>
    <w:rsid w:val="0026130D"/>
    <w:rsid w:val="00262C70"/>
    <w:rsid w:val="00262CB3"/>
    <w:rsid w:val="00264557"/>
    <w:rsid w:val="00277FD5"/>
    <w:rsid w:val="002805AB"/>
    <w:rsid w:val="00284204"/>
    <w:rsid w:val="00291773"/>
    <w:rsid w:val="00294959"/>
    <w:rsid w:val="002A168C"/>
    <w:rsid w:val="002A3DC7"/>
    <w:rsid w:val="002B49E2"/>
    <w:rsid w:val="002B7B00"/>
    <w:rsid w:val="002B7C44"/>
    <w:rsid w:val="002C2B17"/>
    <w:rsid w:val="002C6B9A"/>
    <w:rsid w:val="002D36F4"/>
    <w:rsid w:val="002D3DD0"/>
    <w:rsid w:val="002E1F3A"/>
    <w:rsid w:val="002E298A"/>
    <w:rsid w:val="002F7488"/>
    <w:rsid w:val="00301978"/>
    <w:rsid w:val="0030332C"/>
    <w:rsid w:val="003051C2"/>
    <w:rsid w:val="00312296"/>
    <w:rsid w:val="00314F0E"/>
    <w:rsid w:val="00317C8B"/>
    <w:rsid w:val="00320B43"/>
    <w:rsid w:val="00321D8E"/>
    <w:rsid w:val="00325928"/>
    <w:rsid w:val="00332863"/>
    <w:rsid w:val="0033684D"/>
    <w:rsid w:val="00337B42"/>
    <w:rsid w:val="00341B42"/>
    <w:rsid w:val="0034348F"/>
    <w:rsid w:val="00356653"/>
    <w:rsid w:val="0035743F"/>
    <w:rsid w:val="00357BE2"/>
    <w:rsid w:val="0036170C"/>
    <w:rsid w:val="00366E0F"/>
    <w:rsid w:val="00373621"/>
    <w:rsid w:val="00381A72"/>
    <w:rsid w:val="003835B2"/>
    <w:rsid w:val="00384676"/>
    <w:rsid w:val="00386A49"/>
    <w:rsid w:val="00390857"/>
    <w:rsid w:val="003A4BF3"/>
    <w:rsid w:val="003B0E3D"/>
    <w:rsid w:val="003B420D"/>
    <w:rsid w:val="003C6C16"/>
    <w:rsid w:val="003D252A"/>
    <w:rsid w:val="003D499E"/>
    <w:rsid w:val="003D5C95"/>
    <w:rsid w:val="003D794D"/>
    <w:rsid w:val="003E3058"/>
    <w:rsid w:val="003E6B59"/>
    <w:rsid w:val="003E76A9"/>
    <w:rsid w:val="003F0809"/>
    <w:rsid w:val="003F6A8C"/>
    <w:rsid w:val="003F755C"/>
    <w:rsid w:val="00401330"/>
    <w:rsid w:val="004049B8"/>
    <w:rsid w:val="00406F01"/>
    <w:rsid w:val="00411F65"/>
    <w:rsid w:val="00416D50"/>
    <w:rsid w:val="00416FD5"/>
    <w:rsid w:val="00417772"/>
    <w:rsid w:val="00420E6A"/>
    <w:rsid w:val="00425A9E"/>
    <w:rsid w:val="00426D6B"/>
    <w:rsid w:val="00431E6C"/>
    <w:rsid w:val="00432B58"/>
    <w:rsid w:val="00433CE7"/>
    <w:rsid w:val="0044053E"/>
    <w:rsid w:val="0044163B"/>
    <w:rsid w:val="00447183"/>
    <w:rsid w:val="00451483"/>
    <w:rsid w:val="00452738"/>
    <w:rsid w:val="004539D9"/>
    <w:rsid w:val="00456091"/>
    <w:rsid w:val="00464AE8"/>
    <w:rsid w:val="00466321"/>
    <w:rsid w:val="00467889"/>
    <w:rsid w:val="00481283"/>
    <w:rsid w:val="00484B9B"/>
    <w:rsid w:val="004855F6"/>
    <w:rsid w:val="0048661E"/>
    <w:rsid w:val="00494670"/>
    <w:rsid w:val="004A23D1"/>
    <w:rsid w:val="004A3823"/>
    <w:rsid w:val="004D549C"/>
    <w:rsid w:val="004E6946"/>
    <w:rsid w:val="004F1AD8"/>
    <w:rsid w:val="004F3840"/>
    <w:rsid w:val="004F4E98"/>
    <w:rsid w:val="005039CB"/>
    <w:rsid w:val="0050558F"/>
    <w:rsid w:val="00506286"/>
    <w:rsid w:val="00510813"/>
    <w:rsid w:val="00511990"/>
    <w:rsid w:val="00511DE0"/>
    <w:rsid w:val="005146D2"/>
    <w:rsid w:val="00514870"/>
    <w:rsid w:val="00514B9B"/>
    <w:rsid w:val="00517F02"/>
    <w:rsid w:val="00524303"/>
    <w:rsid w:val="005258A2"/>
    <w:rsid w:val="00535351"/>
    <w:rsid w:val="005401AE"/>
    <w:rsid w:val="00542E07"/>
    <w:rsid w:val="00545424"/>
    <w:rsid w:val="00554A7B"/>
    <w:rsid w:val="00555385"/>
    <w:rsid w:val="0055572C"/>
    <w:rsid w:val="0056106A"/>
    <w:rsid w:val="005633F2"/>
    <w:rsid w:val="005720AE"/>
    <w:rsid w:val="005776C0"/>
    <w:rsid w:val="00594D77"/>
    <w:rsid w:val="005969E4"/>
    <w:rsid w:val="005A06B7"/>
    <w:rsid w:val="005A1759"/>
    <w:rsid w:val="005A3957"/>
    <w:rsid w:val="005A68A7"/>
    <w:rsid w:val="005B2DA9"/>
    <w:rsid w:val="005D36AB"/>
    <w:rsid w:val="005E04FB"/>
    <w:rsid w:val="005E0FEE"/>
    <w:rsid w:val="005E2C67"/>
    <w:rsid w:val="005E5F81"/>
    <w:rsid w:val="005F66C8"/>
    <w:rsid w:val="006076AB"/>
    <w:rsid w:val="00617CC3"/>
    <w:rsid w:val="00620790"/>
    <w:rsid w:val="006377A6"/>
    <w:rsid w:val="00637A3D"/>
    <w:rsid w:val="006411EF"/>
    <w:rsid w:val="00657145"/>
    <w:rsid w:val="0066025D"/>
    <w:rsid w:val="006748B8"/>
    <w:rsid w:val="006775C3"/>
    <w:rsid w:val="00680AA1"/>
    <w:rsid w:val="00683750"/>
    <w:rsid w:val="00684B1A"/>
    <w:rsid w:val="00691B14"/>
    <w:rsid w:val="0069290A"/>
    <w:rsid w:val="00693701"/>
    <w:rsid w:val="0069775A"/>
    <w:rsid w:val="00697813"/>
    <w:rsid w:val="006A3EE8"/>
    <w:rsid w:val="006A72BF"/>
    <w:rsid w:val="006A7548"/>
    <w:rsid w:val="006B03F2"/>
    <w:rsid w:val="006B37DC"/>
    <w:rsid w:val="006B4F68"/>
    <w:rsid w:val="006B7FC4"/>
    <w:rsid w:val="006C0592"/>
    <w:rsid w:val="006C272E"/>
    <w:rsid w:val="006C5479"/>
    <w:rsid w:val="006D0CE9"/>
    <w:rsid w:val="006D13B5"/>
    <w:rsid w:val="006D43F5"/>
    <w:rsid w:val="006D77C9"/>
    <w:rsid w:val="006E12FF"/>
    <w:rsid w:val="006E607E"/>
    <w:rsid w:val="006F42D2"/>
    <w:rsid w:val="00706C5D"/>
    <w:rsid w:val="00712D43"/>
    <w:rsid w:val="007200AE"/>
    <w:rsid w:val="00727987"/>
    <w:rsid w:val="00731E62"/>
    <w:rsid w:val="00732922"/>
    <w:rsid w:val="0075162E"/>
    <w:rsid w:val="00754034"/>
    <w:rsid w:val="00756556"/>
    <w:rsid w:val="00760DF0"/>
    <w:rsid w:val="007618C4"/>
    <w:rsid w:val="00767980"/>
    <w:rsid w:val="00770B19"/>
    <w:rsid w:val="0077463F"/>
    <w:rsid w:val="007836EA"/>
    <w:rsid w:val="00784CDA"/>
    <w:rsid w:val="007906C4"/>
    <w:rsid w:val="007940EA"/>
    <w:rsid w:val="007967E8"/>
    <w:rsid w:val="007A2170"/>
    <w:rsid w:val="007A22BF"/>
    <w:rsid w:val="007A3323"/>
    <w:rsid w:val="007B4D74"/>
    <w:rsid w:val="007B72B8"/>
    <w:rsid w:val="007B7A58"/>
    <w:rsid w:val="007C21B5"/>
    <w:rsid w:val="007C232E"/>
    <w:rsid w:val="007C4A04"/>
    <w:rsid w:val="007D0FEB"/>
    <w:rsid w:val="007D4C47"/>
    <w:rsid w:val="007E14FA"/>
    <w:rsid w:val="007E4BD2"/>
    <w:rsid w:val="007E52CA"/>
    <w:rsid w:val="007E591D"/>
    <w:rsid w:val="007E6779"/>
    <w:rsid w:val="007F0A1D"/>
    <w:rsid w:val="00801393"/>
    <w:rsid w:val="00802F88"/>
    <w:rsid w:val="00804A02"/>
    <w:rsid w:val="00805D1B"/>
    <w:rsid w:val="008102F1"/>
    <w:rsid w:val="0081293E"/>
    <w:rsid w:val="00812AA3"/>
    <w:rsid w:val="00815465"/>
    <w:rsid w:val="00817E9A"/>
    <w:rsid w:val="008306BD"/>
    <w:rsid w:val="00831A80"/>
    <w:rsid w:val="00833743"/>
    <w:rsid w:val="008340A4"/>
    <w:rsid w:val="00842DB7"/>
    <w:rsid w:val="00850B13"/>
    <w:rsid w:val="00861553"/>
    <w:rsid w:val="00867FFD"/>
    <w:rsid w:val="0087135F"/>
    <w:rsid w:val="008713A2"/>
    <w:rsid w:val="00872D94"/>
    <w:rsid w:val="00880364"/>
    <w:rsid w:val="00891592"/>
    <w:rsid w:val="00891E9E"/>
    <w:rsid w:val="00895777"/>
    <w:rsid w:val="008A2F68"/>
    <w:rsid w:val="008A7EDC"/>
    <w:rsid w:val="008B4FA6"/>
    <w:rsid w:val="008B5076"/>
    <w:rsid w:val="008B5282"/>
    <w:rsid w:val="008B7C17"/>
    <w:rsid w:val="008C143C"/>
    <w:rsid w:val="008C2D01"/>
    <w:rsid w:val="008C40E6"/>
    <w:rsid w:val="008D0F7A"/>
    <w:rsid w:val="008D68E4"/>
    <w:rsid w:val="008D6A39"/>
    <w:rsid w:val="008E0506"/>
    <w:rsid w:val="008E0CFF"/>
    <w:rsid w:val="008E12E0"/>
    <w:rsid w:val="008E5D6B"/>
    <w:rsid w:val="008E76F0"/>
    <w:rsid w:val="008F15FE"/>
    <w:rsid w:val="008F2D29"/>
    <w:rsid w:val="008F3F08"/>
    <w:rsid w:val="008F5187"/>
    <w:rsid w:val="008F5DEA"/>
    <w:rsid w:val="008F60D8"/>
    <w:rsid w:val="00902086"/>
    <w:rsid w:val="00902727"/>
    <w:rsid w:val="0090312B"/>
    <w:rsid w:val="009040FA"/>
    <w:rsid w:val="0091736D"/>
    <w:rsid w:val="0093037A"/>
    <w:rsid w:val="0094154D"/>
    <w:rsid w:val="0095155F"/>
    <w:rsid w:val="00954429"/>
    <w:rsid w:val="009563CE"/>
    <w:rsid w:val="009649BA"/>
    <w:rsid w:val="00976328"/>
    <w:rsid w:val="00976735"/>
    <w:rsid w:val="0097680D"/>
    <w:rsid w:val="00980EF1"/>
    <w:rsid w:val="00982438"/>
    <w:rsid w:val="0098404C"/>
    <w:rsid w:val="00985283"/>
    <w:rsid w:val="00995992"/>
    <w:rsid w:val="009A03E5"/>
    <w:rsid w:val="009A0F3B"/>
    <w:rsid w:val="009A1BB4"/>
    <w:rsid w:val="009A2628"/>
    <w:rsid w:val="009A3200"/>
    <w:rsid w:val="009B0897"/>
    <w:rsid w:val="009B4466"/>
    <w:rsid w:val="009B4BFC"/>
    <w:rsid w:val="009B6BCB"/>
    <w:rsid w:val="009B7BD9"/>
    <w:rsid w:val="009C7DD5"/>
    <w:rsid w:val="009E227D"/>
    <w:rsid w:val="009E5019"/>
    <w:rsid w:val="00A04F1B"/>
    <w:rsid w:val="00A0501B"/>
    <w:rsid w:val="00A14947"/>
    <w:rsid w:val="00A2557A"/>
    <w:rsid w:val="00A25E0F"/>
    <w:rsid w:val="00A2722A"/>
    <w:rsid w:val="00A32A83"/>
    <w:rsid w:val="00A36323"/>
    <w:rsid w:val="00A368DB"/>
    <w:rsid w:val="00A423AA"/>
    <w:rsid w:val="00A42E94"/>
    <w:rsid w:val="00A4372D"/>
    <w:rsid w:val="00A46FE9"/>
    <w:rsid w:val="00A53EC6"/>
    <w:rsid w:val="00A55C0F"/>
    <w:rsid w:val="00A8713F"/>
    <w:rsid w:val="00A90BA1"/>
    <w:rsid w:val="00A97A9A"/>
    <w:rsid w:val="00AA0671"/>
    <w:rsid w:val="00AA2531"/>
    <w:rsid w:val="00AA73D0"/>
    <w:rsid w:val="00AB0315"/>
    <w:rsid w:val="00AB1812"/>
    <w:rsid w:val="00AB191D"/>
    <w:rsid w:val="00AB1E09"/>
    <w:rsid w:val="00AB5330"/>
    <w:rsid w:val="00AB7747"/>
    <w:rsid w:val="00AC14CE"/>
    <w:rsid w:val="00AC2A56"/>
    <w:rsid w:val="00AD055E"/>
    <w:rsid w:val="00AD47A7"/>
    <w:rsid w:val="00AE11E0"/>
    <w:rsid w:val="00AE5A69"/>
    <w:rsid w:val="00AE616B"/>
    <w:rsid w:val="00AF0CBF"/>
    <w:rsid w:val="00AF1894"/>
    <w:rsid w:val="00AF257F"/>
    <w:rsid w:val="00AF33CF"/>
    <w:rsid w:val="00AF4D50"/>
    <w:rsid w:val="00AF6179"/>
    <w:rsid w:val="00B06E28"/>
    <w:rsid w:val="00B1295A"/>
    <w:rsid w:val="00B13A8F"/>
    <w:rsid w:val="00B20A45"/>
    <w:rsid w:val="00B22C5C"/>
    <w:rsid w:val="00B24F30"/>
    <w:rsid w:val="00B31ABF"/>
    <w:rsid w:val="00B31D18"/>
    <w:rsid w:val="00B33BE3"/>
    <w:rsid w:val="00B437AD"/>
    <w:rsid w:val="00B45112"/>
    <w:rsid w:val="00B53B5D"/>
    <w:rsid w:val="00B573D7"/>
    <w:rsid w:val="00B6055E"/>
    <w:rsid w:val="00B61E4D"/>
    <w:rsid w:val="00B6317D"/>
    <w:rsid w:val="00B63C2E"/>
    <w:rsid w:val="00B701B7"/>
    <w:rsid w:val="00B73E3F"/>
    <w:rsid w:val="00B76409"/>
    <w:rsid w:val="00B7723F"/>
    <w:rsid w:val="00B80534"/>
    <w:rsid w:val="00B8326C"/>
    <w:rsid w:val="00B8433C"/>
    <w:rsid w:val="00B87491"/>
    <w:rsid w:val="00BA29E9"/>
    <w:rsid w:val="00BA7142"/>
    <w:rsid w:val="00BB237C"/>
    <w:rsid w:val="00BB41A3"/>
    <w:rsid w:val="00BB43A7"/>
    <w:rsid w:val="00BC32DC"/>
    <w:rsid w:val="00BC35B6"/>
    <w:rsid w:val="00BD0B84"/>
    <w:rsid w:val="00BD1B51"/>
    <w:rsid w:val="00BD4596"/>
    <w:rsid w:val="00BE1405"/>
    <w:rsid w:val="00BE312D"/>
    <w:rsid w:val="00BE3ED8"/>
    <w:rsid w:val="00BF1C20"/>
    <w:rsid w:val="00C10578"/>
    <w:rsid w:val="00C135BC"/>
    <w:rsid w:val="00C13CE0"/>
    <w:rsid w:val="00C15C95"/>
    <w:rsid w:val="00C23431"/>
    <w:rsid w:val="00C2596A"/>
    <w:rsid w:val="00C27537"/>
    <w:rsid w:val="00C300EE"/>
    <w:rsid w:val="00C328FE"/>
    <w:rsid w:val="00C33507"/>
    <w:rsid w:val="00C35831"/>
    <w:rsid w:val="00C35C9D"/>
    <w:rsid w:val="00C36433"/>
    <w:rsid w:val="00C4409D"/>
    <w:rsid w:val="00C44682"/>
    <w:rsid w:val="00C44E72"/>
    <w:rsid w:val="00C45A06"/>
    <w:rsid w:val="00C47E5B"/>
    <w:rsid w:val="00C614BF"/>
    <w:rsid w:val="00C61E4B"/>
    <w:rsid w:val="00C642DD"/>
    <w:rsid w:val="00C64BFF"/>
    <w:rsid w:val="00C704E9"/>
    <w:rsid w:val="00C763C9"/>
    <w:rsid w:val="00C80057"/>
    <w:rsid w:val="00C82232"/>
    <w:rsid w:val="00C82913"/>
    <w:rsid w:val="00C972B1"/>
    <w:rsid w:val="00CA2CCE"/>
    <w:rsid w:val="00CA43FD"/>
    <w:rsid w:val="00CA7EF8"/>
    <w:rsid w:val="00CB2FFF"/>
    <w:rsid w:val="00CC489B"/>
    <w:rsid w:val="00CD2BCD"/>
    <w:rsid w:val="00CD3A4C"/>
    <w:rsid w:val="00CE10E9"/>
    <w:rsid w:val="00CE2910"/>
    <w:rsid w:val="00CE5393"/>
    <w:rsid w:val="00CF36BE"/>
    <w:rsid w:val="00CF6000"/>
    <w:rsid w:val="00D003F3"/>
    <w:rsid w:val="00D0364F"/>
    <w:rsid w:val="00D06834"/>
    <w:rsid w:val="00D22DFC"/>
    <w:rsid w:val="00D22FF7"/>
    <w:rsid w:val="00D308ED"/>
    <w:rsid w:val="00D36D86"/>
    <w:rsid w:val="00D40BE3"/>
    <w:rsid w:val="00D42770"/>
    <w:rsid w:val="00D428AA"/>
    <w:rsid w:val="00D50A34"/>
    <w:rsid w:val="00D53EFA"/>
    <w:rsid w:val="00D60CCA"/>
    <w:rsid w:val="00D64E7C"/>
    <w:rsid w:val="00D667AE"/>
    <w:rsid w:val="00D67C51"/>
    <w:rsid w:val="00D91E79"/>
    <w:rsid w:val="00D94A7C"/>
    <w:rsid w:val="00D95896"/>
    <w:rsid w:val="00DB1D40"/>
    <w:rsid w:val="00DB2983"/>
    <w:rsid w:val="00DC1257"/>
    <w:rsid w:val="00DC3DC0"/>
    <w:rsid w:val="00DC5B2B"/>
    <w:rsid w:val="00DC5E6F"/>
    <w:rsid w:val="00DC6932"/>
    <w:rsid w:val="00DD318D"/>
    <w:rsid w:val="00DD7C11"/>
    <w:rsid w:val="00DE7D16"/>
    <w:rsid w:val="00DF2E12"/>
    <w:rsid w:val="00DF514A"/>
    <w:rsid w:val="00DF6298"/>
    <w:rsid w:val="00DF6690"/>
    <w:rsid w:val="00DF6804"/>
    <w:rsid w:val="00E01F00"/>
    <w:rsid w:val="00E0358D"/>
    <w:rsid w:val="00E04323"/>
    <w:rsid w:val="00E070A2"/>
    <w:rsid w:val="00E16BF0"/>
    <w:rsid w:val="00E2656A"/>
    <w:rsid w:val="00E2781F"/>
    <w:rsid w:val="00E33050"/>
    <w:rsid w:val="00E412D0"/>
    <w:rsid w:val="00E56322"/>
    <w:rsid w:val="00E60982"/>
    <w:rsid w:val="00E62C62"/>
    <w:rsid w:val="00E654C1"/>
    <w:rsid w:val="00E65D97"/>
    <w:rsid w:val="00E674F8"/>
    <w:rsid w:val="00E72A5A"/>
    <w:rsid w:val="00E73255"/>
    <w:rsid w:val="00E73354"/>
    <w:rsid w:val="00E9242D"/>
    <w:rsid w:val="00E9475E"/>
    <w:rsid w:val="00EB5255"/>
    <w:rsid w:val="00EB5C47"/>
    <w:rsid w:val="00EB6086"/>
    <w:rsid w:val="00EC4CDF"/>
    <w:rsid w:val="00ED0639"/>
    <w:rsid w:val="00EF4755"/>
    <w:rsid w:val="00EF5BA2"/>
    <w:rsid w:val="00EF7135"/>
    <w:rsid w:val="00F027DB"/>
    <w:rsid w:val="00F0434D"/>
    <w:rsid w:val="00F14940"/>
    <w:rsid w:val="00F14A7A"/>
    <w:rsid w:val="00F22985"/>
    <w:rsid w:val="00F24E42"/>
    <w:rsid w:val="00F3383E"/>
    <w:rsid w:val="00F465A7"/>
    <w:rsid w:val="00F50B7C"/>
    <w:rsid w:val="00F50CDF"/>
    <w:rsid w:val="00F550E6"/>
    <w:rsid w:val="00F67DA0"/>
    <w:rsid w:val="00F74345"/>
    <w:rsid w:val="00F80A0A"/>
    <w:rsid w:val="00F82B19"/>
    <w:rsid w:val="00F9212D"/>
    <w:rsid w:val="00F9432B"/>
    <w:rsid w:val="00F965DA"/>
    <w:rsid w:val="00FA0B04"/>
    <w:rsid w:val="00FA406A"/>
    <w:rsid w:val="00FB1955"/>
    <w:rsid w:val="00FB503A"/>
    <w:rsid w:val="00FB516C"/>
    <w:rsid w:val="00FC4CAC"/>
    <w:rsid w:val="00FD0236"/>
    <w:rsid w:val="00FD18F4"/>
    <w:rsid w:val="00FD243C"/>
    <w:rsid w:val="00FD54DB"/>
    <w:rsid w:val="00FD619F"/>
    <w:rsid w:val="00FD668F"/>
    <w:rsid w:val="00FF3A50"/>
    <w:rsid w:val="010158D6"/>
    <w:rsid w:val="010541FE"/>
    <w:rsid w:val="010A0E75"/>
    <w:rsid w:val="011949CD"/>
    <w:rsid w:val="011A78E7"/>
    <w:rsid w:val="011B1A34"/>
    <w:rsid w:val="011C626C"/>
    <w:rsid w:val="0120046C"/>
    <w:rsid w:val="012515C4"/>
    <w:rsid w:val="012552B5"/>
    <w:rsid w:val="012901D6"/>
    <w:rsid w:val="01290F7E"/>
    <w:rsid w:val="012918E6"/>
    <w:rsid w:val="012A6BDB"/>
    <w:rsid w:val="012B4701"/>
    <w:rsid w:val="012D66F2"/>
    <w:rsid w:val="01353E13"/>
    <w:rsid w:val="013730A5"/>
    <w:rsid w:val="013C5927"/>
    <w:rsid w:val="014369FF"/>
    <w:rsid w:val="014B0A9E"/>
    <w:rsid w:val="014B22A3"/>
    <w:rsid w:val="01511039"/>
    <w:rsid w:val="01565F5E"/>
    <w:rsid w:val="015C48BA"/>
    <w:rsid w:val="015D1E09"/>
    <w:rsid w:val="015F5F58"/>
    <w:rsid w:val="015F61C3"/>
    <w:rsid w:val="0160084E"/>
    <w:rsid w:val="01623657"/>
    <w:rsid w:val="01655E65"/>
    <w:rsid w:val="016832D7"/>
    <w:rsid w:val="016E2F6B"/>
    <w:rsid w:val="017003E6"/>
    <w:rsid w:val="017442FA"/>
    <w:rsid w:val="0179232E"/>
    <w:rsid w:val="01797F8F"/>
    <w:rsid w:val="017B4B25"/>
    <w:rsid w:val="017D3117"/>
    <w:rsid w:val="01804A4C"/>
    <w:rsid w:val="01831C34"/>
    <w:rsid w:val="018435F9"/>
    <w:rsid w:val="0187402D"/>
    <w:rsid w:val="018801D5"/>
    <w:rsid w:val="01894159"/>
    <w:rsid w:val="018C11BF"/>
    <w:rsid w:val="018E2466"/>
    <w:rsid w:val="01903A1F"/>
    <w:rsid w:val="01967DCC"/>
    <w:rsid w:val="01992300"/>
    <w:rsid w:val="019B53E2"/>
    <w:rsid w:val="01A11310"/>
    <w:rsid w:val="01A1260D"/>
    <w:rsid w:val="01B60637"/>
    <w:rsid w:val="01C42B8B"/>
    <w:rsid w:val="01C56903"/>
    <w:rsid w:val="01C761D7"/>
    <w:rsid w:val="01C86321"/>
    <w:rsid w:val="01D66247"/>
    <w:rsid w:val="01E36F4E"/>
    <w:rsid w:val="01E730A7"/>
    <w:rsid w:val="01EA4690"/>
    <w:rsid w:val="01F1594A"/>
    <w:rsid w:val="01F20F27"/>
    <w:rsid w:val="01FD7E4B"/>
    <w:rsid w:val="01FE571A"/>
    <w:rsid w:val="02072A78"/>
    <w:rsid w:val="02075D9E"/>
    <w:rsid w:val="020B07BA"/>
    <w:rsid w:val="021138F7"/>
    <w:rsid w:val="02145195"/>
    <w:rsid w:val="022C24DE"/>
    <w:rsid w:val="022D5F20"/>
    <w:rsid w:val="022D6BD4"/>
    <w:rsid w:val="022E6257"/>
    <w:rsid w:val="02356FFC"/>
    <w:rsid w:val="0247556A"/>
    <w:rsid w:val="02477318"/>
    <w:rsid w:val="025307AA"/>
    <w:rsid w:val="02557C87"/>
    <w:rsid w:val="025623F8"/>
    <w:rsid w:val="02565543"/>
    <w:rsid w:val="025E52A4"/>
    <w:rsid w:val="02624152"/>
    <w:rsid w:val="026512A2"/>
    <w:rsid w:val="02663C42"/>
    <w:rsid w:val="026840E4"/>
    <w:rsid w:val="02697903"/>
    <w:rsid w:val="026B3007"/>
    <w:rsid w:val="026C4FD1"/>
    <w:rsid w:val="026D302D"/>
    <w:rsid w:val="026F66C2"/>
    <w:rsid w:val="026F6A38"/>
    <w:rsid w:val="02716496"/>
    <w:rsid w:val="02786FC1"/>
    <w:rsid w:val="02863FEC"/>
    <w:rsid w:val="029D6A57"/>
    <w:rsid w:val="029E2444"/>
    <w:rsid w:val="02A52D67"/>
    <w:rsid w:val="02A86B17"/>
    <w:rsid w:val="02B1130A"/>
    <w:rsid w:val="02B80216"/>
    <w:rsid w:val="02BC7C49"/>
    <w:rsid w:val="02BE3A7E"/>
    <w:rsid w:val="02C74954"/>
    <w:rsid w:val="02CE6D16"/>
    <w:rsid w:val="02D0730E"/>
    <w:rsid w:val="02DA018C"/>
    <w:rsid w:val="02DA1F3A"/>
    <w:rsid w:val="02DB1064"/>
    <w:rsid w:val="02DC44E1"/>
    <w:rsid w:val="02E01A99"/>
    <w:rsid w:val="02E1776D"/>
    <w:rsid w:val="02E31D26"/>
    <w:rsid w:val="02E72FE3"/>
    <w:rsid w:val="02EC5721"/>
    <w:rsid w:val="02F96569"/>
    <w:rsid w:val="02FA082F"/>
    <w:rsid w:val="03003AFF"/>
    <w:rsid w:val="030238CB"/>
    <w:rsid w:val="030743A9"/>
    <w:rsid w:val="030A0A72"/>
    <w:rsid w:val="030A301C"/>
    <w:rsid w:val="030B2A3C"/>
    <w:rsid w:val="030C7BCD"/>
    <w:rsid w:val="030E4AA2"/>
    <w:rsid w:val="03125B78"/>
    <w:rsid w:val="0316001E"/>
    <w:rsid w:val="03253AFD"/>
    <w:rsid w:val="03261EE5"/>
    <w:rsid w:val="03265180"/>
    <w:rsid w:val="032D4760"/>
    <w:rsid w:val="032F04D8"/>
    <w:rsid w:val="0332621A"/>
    <w:rsid w:val="03343D40"/>
    <w:rsid w:val="03355182"/>
    <w:rsid w:val="03367AB9"/>
    <w:rsid w:val="03376D06"/>
    <w:rsid w:val="033B613B"/>
    <w:rsid w:val="033D7CC5"/>
    <w:rsid w:val="033E1E33"/>
    <w:rsid w:val="033E21D9"/>
    <w:rsid w:val="033E3D9D"/>
    <w:rsid w:val="033E6E80"/>
    <w:rsid w:val="033F6241"/>
    <w:rsid w:val="03435D32"/>
    <w:rsid w:val="0348159A"/>
    <w:rsid w:val="034A3564"/>
    <w:rsid w:val="034A70C0"/>
    <w:rsid w:val="034B2E38"/>
    <w:rsid w:val="034F0B7A"/>
    <w:rsid w:val="034F7794"/>
    <w:rsid w:val="035166A0"/>
    <w:rsid w:val="03526967"/>
    <w:rsid w:val="03681C3C"/>
    <w:rsid w:val="03772C83"/>
    <w:rsid w:val="037E320E"/>
    <w:rsid w:val="038023C6"/>
    <w:rsid w:val="038030F8"/>
    <w:rsid w:val="03825184"/>
    <w:rsid w:val="03863E70"/>
    <w:rsid w:val="0388761E"/>
    <w:rsid w:val="038C61D3"/>
    <w:rsid w:val="038D1535"/>
    <w:rsid w:val="03904403"/>
    <w:rsid w:val="039D18E6"/>
    <w:rsid w:val="03A569EC"/>
    <w:rsid w:val="03B153B5"/>
    <w:rsid w:val="03B47F41"/>
    <w:rsid w:val="03B734E6"/>
    <w:rsid w:val="03B83CED"/>
    <w:rsid w:val="03BD3DD6"/>
    <w:rsid w:val="03C70AD5"/>
    <w:rsid w:val="03C8511B"/>
    <w:rsid w:val="03CF00C4"/>
    <w:rsid w:val="03CF75C5"/>
    <w:rsid w:val="03D133E7"/>
    <w:rsid w:val="03D34F82"/>
    <w:rsid w:val="03D35307"/>
    <w:rsid w:val="03D42E2E"/>
    <w:rsid w:val="03D64521"/>
    <w:rsid w:val="03D746CC"/>
    <w:rsid w:val="03D76B0F"/>
    <w:rsid w:val="03DE3B6C"/>
    <w:rsid w:val="03E01D10"/>
    <w:rsid w:val="03E07A24"/>
    <w:rsid w:val="03E77005"/>
    <w:rsid w:val="03EA08A3"/>
    <w:rsid w:val="03EA7B21"/>
    <w:rsid w:val="03ED71BB"/>
    <w:rsid w:val="03EE3EEF"/>
    <w:rsid w:val="03EF5EB9"/>
    <w:rsid w:val="03F31506"/>
    <w:rsid w:val="03F359AA"/>
    <w:rsid w:val="03FA6584"/>
    <w:rsid w:val="03FD05D6"/>
    <w:rsid w:val="03FF6518"/>
    <w:rsid w:val="04035DFD"/>
    <w:rsid w:val="04051878"/>
    <w:rsid w:val="040C71F4"/>
    <w:rsid w:val="041476CE"/>
    <w:rsid w:val="041677AB"/>
    <w:rsid w:val="041B0A6B"/>
    <w:rsid w:val="041C7EBF"/>
    <w:rsid w:val="041F62F8"/>
    <w:rsid w:val="042711AF"/>
    <w:rsid w:val="04294F27"/>
    <w:rsid w:val="042A6B14"/>
    <w:rsid w:val="042C0A34"/>
    <w:rsid w:val="042D26AC"/>
    <w:rsid w:val="0430275A"/>
    <w:rsid w:val="04387860"/>
    <w:rsid w:val="043C2D23"/>
    <w:rsid w:val="043C6919"/>
    <w:rsid w:val="043D4E77"/>
    <w:rsid w:val="044512E8"/>
    <w:rsid w:val="04473600"/>
    <w:rsid w:val="044A184C"/>
    <w:rsid w:val="044A30F0"/>
    <w:rsid w:val="044B7594"/>
    <w:rsid w:val="044C50BA"/>
    <w:rsid w:val="044E3FD3"/>
    <w:rsid w:val="0451447E"/>
    <w:rsid w:val="045470D2"/>
    <w:rsid w:val="04565B8D"/>
    <w:rsid w:val="045C354F"/>
    <w:rsid w:val="045C57FD"/>
    <w:rsid w:val="045F1328"/>
    <w:rsid w:val="045F17B9"/>
    <w:rsid w:val="045F4DED"/>
    <w:rsid w:val="045F6349"/>
    <w:rsid w:val="046053CB"/>
    <w:rsid w:val="04640655"/>
    <w:rsid w:val="04697A1A"/>
    <w:rsid w:val="046B3792"/>
    <w:rsid w:val="04706FFA"/>
    <w:rsid w:val="0475354E"/>
    <w:rsid w:val="04776088"/>
    <w:rsid w:val="047C3421"/>
    <w:rsid w:val="047F0FEB"/>
    <w:rsid w:val="047F2D99"/>
    <w:rsid w:val="04806B11"/>
    <w:rsid w:val="048A0490"/>
    <w:rsid w:val="049251C3"/>
    <w:rsid w:val="04943404"/>
    <w:rsid w:val="04983B1A"/>
    <w:rsid w:val="049D3B67"/>
    <w:rsid w:val="049F2B84"/>
    <w:rsid w:val="04B14F1D"/>
    <w:rsid w:val="04B43074"/>
    <w:rsid w:val="04BC5CE3"/>
    <w:rsid w:val="04C04CF0"/>
    <w:rsid w:val="04C17856"/>
    <w:rsid w:val="04C630A7"/>
    <w:rsid w:val="04DE21B6"/>
    <w:rsid w:val="04E2157A"/>
    <w:rsid w:val="04E470A0"/>
    <w:rsid w:val="04E6106A"/>
    <w:rsid w:val="04E84DE3"/>
    <w:rsid w:val="04EB6681"/>
    <w:rsid w:val="04ED2D68"/>
    <w:rsid w:val="04EE6171"/>
    <w:rsid w:val="04F512AE"/>
    <w:rsid w:val="04FA4EDA"/>
    <w:rsid w:val="04FD7A55"/>
    <w:rsid w:val="04FF212C"/>
    <w:rsid w:val="04FF3EDA"/>
    <w:rsid w:val="05065269"/>
    <w:rsid w:val="05067099"/>
    <w:rsid w:val="050C0583"/>
    <w:rsid w:val="051323DB"/>
    <w:rsid w:val="0518280F"/>
    <w:rsid w:val="051D6CD3"/>
    <w:rsid w:val="051F632A"/>
    <w:rsid w:val="0524696A"/>
    <w:rsid w:val="05263B5D"/>
    <w:rsid w:val="052721FB"/>
    <w:rsid w:val="05283431"/>
    <w:rsid w:val="052C1139"/>
    <w:rsid w:val="052C6F4E"/>
    <w:rsid w:val="052F2A11"/>
    <w:rsid w:val="05310AC0"/>
    <w:rsid w:val="053E2C54"/>
    <w:rsid w:val="053E4A03"/>
    <w:rsid w:val="05404C1F"/>
    <w:rsid w:val="05467D5B"/>
    <w:rsid w:val="0547340E"/>
    <w:rsid w:val="054F6F5F"/>
    <w:rsid w:val="05544226"/>
    <w:rsid w:val="05557F2F"/>
    <w:rsid w:val="05573D16"/>
    <w:rsid w:val="05580676"/>
    <w:rsid w:val="055B4129"/>
    <w:rsid w:val="055D4F8F"/>
    <w:rsid w:val="0560706F"/>
    <w:rsid w:val="05635BD3"/>
    <w:rsid w:val="05665D07"/>
    <w:rsid w:val="056E233D"/>
    <w:rsid w:val="056E3C57"/>
    <w:rsid w:val="05740424"/>
    <w:rsid w:val="05751A13"/>
    <w:rsid w:val="057602A4"/>
    <w:rsid w:val="05784A8C"/>
    <w:rsid w:val="05790131"/>
    <w:rsid w:val="057B5C57"/>
    <w:rsid w:val="05800AA3"/>
    <w:rsid w:val="0580375A"/>
    <w:rsid w:val="058663AA"/>
    <w:rsid w:val="058B008A"/>
    <w:rsid w:val="05917228"/>
    <w:rsid w:val="059231C5"/>
    <w:rsid w:val="05A21435"/>
    <w:rsid w:val="05A351AD"/>
    <w:rsid w:val="05A50F26"/>
    <w:rsid w:val="05AD1B88"/>
    <w:rsid w:val="05AE4775"/>
    <w:rsid w:val="05AF5694"/>
    <w:rsid w:val="05B410CF"/>
    <w:rsid w:val="05B8301A"/>
    <w:rsid w:val="05BE5B43"/>
    <w:rsid w:val="05CD3FD8"/>
    <w:rsid w:val="05D15877"/>
    <w:rsid w:val="05E14EF6"/>
    <w:rsid w:val="05EB52E3"/>
    <w:rsid w:val="05F17CC7"/>
    <w:rsid w:val="05F83EAE"/>
    <w:rsid w:val="05FD221B"/>
    <w:rsid w:val="0600615C"/>
    <w:rsid w:val="06023C82"/>
    <w:rsid w:val="060323C7"/>
    <w:rsid w:val="0606010A"/>
    <w:rsid w:val="06096EF8"/>
    <w:rsid w:val="060A2B37"/>
    <w:rsid w:val="061B2869"/>
    <w:rsid w:val="061C73CC"/>
    <w:rsid w:val="0626656B"/>
    <w:rsid w:val="062961C7"/>
    <w:rsid w:val="0636392C"/>
    <w:rsid w:val="063E7D85"/>
    <w:rsid w:val="063F6C84"/>
    <w:rsid w:val="06416BB8"/>
    <w:rsid w:val="064415F4"/>
    <w:rsid w:val="0644429B"/>
    <w:rsid w:val="064673A3"/>
    <w:rsid w:val="064705DA"/>
    <w:rsid w:val="064737C1"/>
    <w:rsid w:val="06525441"/>
    <w:rsid w:val="06532ADC"/>
    <w:rsid w:val="0655382A"/>
    <w:rsid w:val="0657262A"/>
    <w:rsid w:val="06590829"/>
    <w:rsid w:val="06681600"/>
    <w:rsid w:val="066C37F1"/>
    <w:rsid w:val="066D10BA"/>
    <w:rsid w:val="0677308E"/>
    <w:rsid w:val="06783F44"/>
    <w:rsid w:val="067A3C88"/>
    <w:rsid w:val="067A57A2"/>
    <w:rsid w:val="067A7CBC"/>
    <w:rsid w:val="067D59FE"/>
    <w:rsid w:val="067F3525"/>
    <w:rsid w:val="0680104B"/>
    <w:rsid w:val="0683550F"/>
    <w:rsid w:val="068723D9"/>
    <w:rsid w:val="068C79F0"/>
    <w:rsid w:val="068D109E"/>
    <w:rsid w:val="068E3768"/>
    <w:rsid w:val="069667FE"/>
    <w:rsid w:val="06976AC0"/>
    <w:rsid w:val="069A210C"/>
    <w:rsid w:val="06A362D7"/>
    <w:rsid w:val="06A42F8B"/>
    <w:rsid w:val="06A55BF5"/>
    <w:rsid w:val="06AF42F8"/>
    <w:rsid w:val="06AF6EE1"/>
    <w:rsid w:val="06B07B82"/>
    <w:rsid w:val="06B56F46"/>
    <w:rsid w:val="06BE0752"/>
    <w:rsid w:val="06BF7DC5"/>
    <w:rsid w:val="06C13B3D"/>
    <w:rsid w:val="06C278B5"/>
    <w:rsid w:val="06C50B38"/>
    <w:rsid w:val="06C54CB0"/>
    <w:rsid w:val="06CA5D4E"/>
    <w:rsid w:val="06CB390E"/>
    <w:rsid w:val="06CE0008"/>
    <w:rsid w:val="06D3561E"/>
    <w:rsid w:val="06D65D19"/>
    <w:rsid w:val="06D67116"/>
    <w:rsid w:val="06D857D5"/>
    <w:rsid w:val="06DD5294"/>
    <w:rsid w:val="06DF3FC3"/>
    <w:rsid w:val="06E92A13"/>
    <w:rsid w:val="06EC7472"/>
    <w:rsid w:val="06F85085"/>
    <w:rsid w:val="06F86E33"/>
    <w:rsid w:val="06FB0D63"/>
    <w:rsid w:val="06FD3ECB"/>
    <w:rsid w:val="06FE7501"/>
    <w:rsid w:val="070103DE"/>
    <w:rsid w:val="07012516"/>
    <w:rsid w:val="070752C8"/>
    <w:rsid w:val="070B4DB8"/>
    <w:rsid w:val="070E62E0"/>
    <w:rsid w:val="070F7027"/>
    <w:rsid w:val="07106873"/>
    <w:rsid w:val="071C4121"/>
    <w:rsid w:val="071C67F5"/>
    <w:rsid w:val="072145DC"/>
    <w:rsid w:val="072365A6"/>
    <w:rsid w:val="07245E48"/>
    <w:rsid w:val="07246A32"/>
    <w:rsid w:val="07264567"/>
    <w:rsid w:val="07293586"/>
    <w:rsid w:val="07295285"/>
    <w:rsid w:val="07342561"/>
    <w:rsid w:val="07372051"/>
    <w:rsid w:val="073C7420"/>
    <w:rsid w:val="073F4252"/>
    <w:rsid w:val="07405EC9"/>
    <w:rsid w:val="07416A2C"/>
    <w:rsid w:val="07467068"/>
    <w:rsid w:val="074841F6"/>
    <w:rsid w:val="0749768F"/>
    <w:rsid w:val="07500A1D"/>
    <w:rsid w:val="07594136"/>
    <w:rsid w:val="075F5104"/>
    <w:rsid w:val="07630750"/>
    <w:rsid w:val="07636392"/>
    <w:rsid w:val="0765096C"/>
    <w:rsid w:val="076646E5"/>
    <w:rsid w:val="07695351"/>
    <w:rsid w:val="076D5A73"/>
    <w:rsid w:val="07733687"/>
    <w:rsid w:val="077346A2"/>
    <w:rsid w:val="07770C56"/>
    <w:rsid w:val="07775635"/>
    <w:rsid w:val="077D2C89"/>
    <w:rsid w:val="077F58F8"/>
    <w:rsid w:val="0780099C"/>
    <w:rsid w:val="078306F9"/>
    <w:rsid w:val="078441FF"/>
    <w:rsid w:val="07846919"/>
    <w:rsid w:val="078608E3"/>
    <w:rsid w:val="078B0A19"/>
    <w:rsid w:val="07965FFE"/>
    <w:rsid w:val="07990616"/>
    <w:rsid w:val="079C0106"/>
    <w:rsid w:val="079C7231"/>
    <w:rsid w:val="079E5C2C"/>
    <w:rsid w:val="079E79DA"/>
    <w:rsid w:val="07A7032F"/>
    <w:rsid w:val="07AB20F7"/>
    <w:rsid w:val="07BD4DC1"/>
    <w:rsid w:val="07C142F5"/>
    <w:rsid w:val="07C336A5"/>
    <w:rsid w:val="07CD6512"/>
    <w:rsid w:val="07D17DB0"/>
    <w:rsid w:val="07D77BED"/>
    <w:rsid w:val="07D96C64"/>
    <w:rsid w:val="07DC0503"/>
    <w:rsid w:val="07E216B5"/>
    <w:rsid w:val="07E850FA"/>
    <w:rsid w:val="07EA2C20"/>
    <w:rsid w:val="07F27D26"/>
    <w:rsid w:val="07F437BE"/>
    <w:rsid w:val="07F67816"/>
    <w:rsid w:val="07F8733B"/>
    <w:rsid w:val="07F92DCA"/>
    <w:rsid w:val="07FD4979"/>
    <w:rsid w:val="080041F1"/>
    <w:rsid w:val="08017D51"/>
    <w:rsid w:val="08064E81"/>
    <w:rsid w:val="08076D29"/>
    <w:rsid w:val="08106F21"/>
    <w:rsid w:val="081128A2"/>
    <w:rsid w:val="0812382B"/>
    <w:rsid w:val="08137711"/>
    <w:rsid w:val="08191757"/>
    <w:rsid w:val="081A6F5A"/>
    <w:rsid w:val="081E6126"/>
    <w:rsid w:val="082779D0"/>
    <w:rsid w:val="08297BEC"/>
    <w:rsid w:val="082C148A"/>
    <w:rsid w:val="082D6FB0"/>
    <w:rsid w:val="08346591"/>
    <w:rsid w:val="083626B8"/>
    <w:rsid w:val="0837398B"/>
    <w:rsid w:val="08397C29"/>
    <w:rsid w:val="083C32A0"/>
    <w:rsid w:val="0849771D"/>
    <w:rsid w:val="084C5688"/>
    <w:rsid w:val="084F53A2"/>
    <w:rsid w:val="08504733"/>
    <w:rsid w:val="08541980"/>
    <w:rsid w:val="085626D6"/>
    <w:rsid w:val="08597DA5"/>
    <w:rsid w:val="08626C5A"/>
    <w:rsid w:val="086724C2"/>
    <w:rsid w:val="08677E6B"/>
    <w:rsid w:val="086923EE"/>
    <w:rsid w:val="0878022B"/>
    <w:rsid w:val="0878647D"/>
    <w:rsid w:val="087A1F0C"/>
    <w:rsid w:val="087F1CC3"/>
    <w:rsid w:val="088017D6"/>
    <w:rsid w:val="0883616D"/>
    <w:rsid w:val="08872B64"/>
    <w:rsid w:val="088766C0"/>
    <w:rsid w:val="088968DD"/>
    <w:rsid w:val="088A4403"/>
    <w:rsid w:val="0890194E"/>
    <w:rsid w:val="08940DDD"/>
    <w:rsid w:val="089B2CC2"/>
    <w:rsid w:val="089E31D2"/>
    <w:rsid w:val="08A2766C"/>
    <w:rsid w:val="08A45B60"/>
    <w:rsid w:val="08A5417D"/>
    <w:rsid w:val="08AC4379"/>
    <w:rsid w:val="08AF79C5"/>
    <w:rsid w:val="08B140F2"/>
    <w:rsid w:val="08B374B6"/>
    <w:rsid w:val="08B84ACC"/>
    <w:rsid w:val="08C04C7F"/>
    <w:rsid w:val="08C47BB7"/>
    <w:rsid w:val="08C568A2"/>
    <w:rsid w:val="08C711B3"/>
    <w:rsid w:val="08CA7C00"/>
    <w:rsid w:val="08D137C9"/>
    <w:rsid w:val="08DA0EE6"/>
    <w:rsid w:val="08DB4472"/>
    <w:rsid w:val="08E012EA"/>
    <w:rsid w:val="08F61060"/>
    <w:rsid w:val="09027603"/>
    <w:rsid w:val="09044C9A"/>
    <w:rsid w:val="090533B3"/>
    <w:rsid w:val="09080462"/>
    <w:rsid w:val="090A5D95"/>
    <w:rsid w:val="090E574B"/>
    <w:rsid w:val="091111EE"/>
    <w:rsid w:val="091361A6"/>
    <w:rsid w:val="092032F1"/>
    <w:rsid w:val="092217DD"/>
    <w:rsid w:val="092263E9"/>
    <w:rsid w:val="092A3B49"/>
    <w:rsid w:val="092C3463"/>
    <w:rsid w:val="092F6FCD"/>
    <w:rsid w:val="09317619"/>
    <w:rsid w:val="0935436E"/>
    <w:rsid w:val="093A6A4C"/>
    <w:rsid w:val="093A7294"/>
    <w:rsid w:val="093F6F9B"/>
    <w:rsid w:val="09420839"/>
    <w:rsid w:val="094251D4"/>
    <w:rsid w:val="094C36CE"/>
    <w:rsid w:val="094D257E"/>
    <w:rsid w:val="094D790A"/>
    <w:rsid w:val="095011A8"/>
    <w:rsid w:val="095818F3"/>
    <w:rsid w:val="095B7D04"/>
    <w:rsid w:val="095C020E"/>
    <w:rsid w:val="09664528"/>
    <w:rsid w:val="097E3F67"/>
    <w:rsid w:val="097F64DE"/>
    <w:rsid w:val="09806A03"/>
    <w:rsid w:val="09892E1C"/>
    <w:rsid w:val="098F6002"/>
    <w:rsid w:val="099512B1"/>
    <w:rsid w:val="09970725"/>
    <w:rsid w:val="09975029"/>
    <w:rsid w:val="0998707C"/>
    <w:rsid w:val="099C619C"/>
    <w:rsid w:val="099F7A3A"/>
    <w:rsid w:val="09A514F4"/>
    <w:rsid w:val="09A53EFF"/>
    <w:rsid w:val="09A83F78"/>
    <w:rsid w:val="09AB2883"/>
    <w:rsid w:val="09B6050F"/>
    <w:rsid w:val="09B66737"/>
    <w:rsid w:val="09B73507"/>
    <w:rsid w:val="09B96D4E"/>
    <w:rsid w:val="09BC05EC"/>
    <w:rsid w:val="09C0632E"/>
    <w:rsid w:val="09C53944"/>
    <w:rsid w:val="09CB2665"/>
    <w:rsid w:val="09D26061"/>
    <w:rsid w:val="09D46DA9"/>
    <w:rsid w:val="09D92F4C"/>
    <w:rsid w:val="09DF04D1"/>
    <w:rsid w:val="09E71B0D"/>
    <w:rsid w:val="09EC162C"/>
    <w:rsid w:val="09F204B1"/>
    <w:rsid w:val="09F35C3C"/>
    <w:rsid w:val="09F430B1"/>
    <w:rsid w:val="09F77876"/>
    <w:rsid w:val="09F91840"/>
    <w:rsid w:val="09FD15BF"/>
    <w:rsid w:val="0A002BCE"/>
    <w:rsid w:val="0A00497C"/>
    <w:rsid w:val="0A026946"/>
    <w:rsid w:val="0A091B50"/>
    <w:rsid w:val="0A0B50CF"/>
    <w:rsid w:val="0A1B5312"/>
    <w:rsid w:val="0A1C72DC"/>
    <w:rsid w:val="0A263993"/>
    <w:rsid w:val="0A2D3AC2"/>
    <w:rsid w:val="0A2E503D"/>
    <w:rsid w:val="0A2F6902"/>
    <w:rsid w:val="0A382873"/>
    <w:rsid w:val="0A3E54A5"/>
    <w:rsid w:val="0A4214C3"/>
    <w:rsid w:val="0A4800D1"/>
    <w:rsid w:val="0A51342A"/>
    <w:rsid w:val="0A56459C"/>
    <w:rsid w:val="0A634F0B"/>
    <w:rsid w:val="0A650C83"/>
    <w:rsid w:val="0A6B03BA"/>
    <w:rsid w:val="0A6E5D8A"/>
    <w:rsid w:val="0A7864EC"/>
    <w:rsid w:val="0A7E3AF3"/>
    <w:rsid w:val="0A7F677B"/>
    <w:rsid w:val="0A801619"/>
    <w:rsid w:val="0A834809"/>
    <w:rsid w:val="0A851323"/>
    <w:rsid w:val="0A856C30"/>
    <w:rsid w:val="0A893F40"/>
    <w:rsid w:val="0A903189"/>
    <w:rsid w:val="0A933DE7"/>
    <w:rsid w:val="0A935528"/>
    <w:rsid w:val="0A96160E"/>
    <w:rsid w:val="0A96247D"/>
    <w:rsid w:val="0A974B4B"/>
    <w:rsid w:val="0A99092D"/>
    <w:rsid w:val="0A9B4DF6"/>
    <w:rsid w:val="0A9D041D"/>
    <w:rsid w:val="0A9F3142"/>
    <w:rsid w:val="0AA140FA"/>
    <w:rsid w:val="0AA20209"/>
    <w:rsid w:val="0AA74DF8"/>
    <w:rsid w:val="0AA755DF"/>
    <w:rsid w:val="0AA96DC2"/>
    <w:rsid w:val="0AAA110B"/>
    <w:rsid w:val="0AAA507B"/>
    <w:rsid w:val="0AAC277B"/>
    <w:rsid w:val="0AAE262A"/>
    <w:rsid w:val="0AB1211B"/>
    <w:rsid w:val="0AB20ABA"/>
    <w:rsid w:val="0AB22970"/>
    <w:rsid w:val="0AB35F02"/>
    <w:rsid w:val="0AB37C41"/>
    <w:rsid w:val="0AB76184"/>
    <w:rsid w:val="0AB87005"/>
    <w:rsid w:val="0ABA6A2D"/>
    <w:rsid w:val="0ABA7103"/>
    <w:rsid w:val="0ABE1105"/>
    <w:rsid w:val="0ABF1853"/>
    <w:rsid w:val="0AC21BFA"/>
    <w:rsid w:val="0ACB19B1"/>
    <w:rsid w:val="0ACB4F8A"/>
    <w:rsid w:val="0ADF0F5E"/>
    <w:rsid w:val="0AE94BE1"/>
    <w:rsid w:val="0AFF4C34"/>
    <w:rsid w:val="0B0079B8"/>
    <w:rsid w:val="0B0521E7"/>
    <w:rsid w:val="0B0A5387"/>
    <w:rsid w:val="0B120D44"/>
    <w:rsid w:val="0B13248D"/>
    <w:rsid w:val="0B183AF9"/>
    <w:rsid w:val="0B1D50BA"/>
    <w:rsid w:val="0B22737B"/>
    <w:rsid w:val="0B2A5043"/>
    <w:rsid w:val="0B2E6BFF"/>
    <w:rsid w:val="0B315ADF"/>
    <w:rsid w:val="0B315F16"/>
    <w:rsid w:val="0B330D82"/>
    <w:rsid w:val="0B352404"/>
    <w:rsid w:val="0B362F5C"/>
    <w:rsid w:val="0B416FFB"/>
    <w:rsid w:val="0B452CDC"/>
    <w:rsid w:val="0B4A2EA3"/>
    <w:rsid w:val="0B4C7FDE"/>
    <w:rsid w:val="0B4E7969"/>
    <w:rsid w:val="0B55696F"/>
    <w:rsid w:val="0B5605CC"/>
    <w:rsid w:val="0B5A00BC"/>
    <w:rsid w:val="0B5D7839"/>
    <w:rsid w:val="0B5E1061"/>
    <w:rsid w:val="0B6251C3"/>
    <w:rsid w:val="0B640ED9"/>
    <w:rsid w:val="0B6949FB"/>
    <w:rsid w:val="0B6B1E26"/>
    <w:rsid w:val="0B6B22C9"/>
    <w:rsid w:val="0B754EF6"/>
    <w:rsid w:val="0B756CA4"/>
    <w:rsid w:val="0B78442A"/>
    <w:rsid w:val="0B7B78ED"/>
    <w:rsid w:val="0B7C423B"/>
    <w:rsid w:val="0B7D3DAB"/>
    <w:rsid w:val="0B884C29"/>
    <w:rsid w:val="0B950186"/>
    <w:rsid w:val="0B973C6B"/>
    <w:rsid w:val="0B9C437D"/>
    <w:rsid w:val="0B9F3D21"/>
    <w:rsid w:val="0BA457DB"/>
    <w:rsid w:val="0BA45F85"/>
    <w:rsid w:val="0BA83DF4"/>
    <w:rsid w:val="0BA852CC"/>
    <w:rsid w:val="0BAC477B"/>
    <w:rsid w:val="0BAE0408"/>
    <w:rsid w:val="0BAF665A"/>
    <w:rsid w:val="0BB34120"/>
    <w:rsid w:val="0BB72D37"/>
    <w:rsid w:val="0BB7550F"/>
    <w:rsid w:val="0BBB781B"/>
    <w:rsid w:val="0BBD5D33"/>
    <w:rsid w:val="0BBF32B6"/>
    <w:rsid w:val="0BC1013B"/>
    <w:rsid w:val="0BCE17AD"/>
    <w:rsid w:val="0BCF0AAA"/>
    <w:rsid w:val="0BD27BF6"/>
    <w:rsid w:val="0BD3510E"/>
    <w:rsid w:val="0BD50BD6"/>
    <w:rsid w:val="0BD53BE7"/>
    <w:rsid w:val="0BE36304"/>
    <w:rsid w:val="0BE61950"/>
    <w:rsid w:val="0BED2CDE"/>
    <w:rsid w:val="0BF93915"/>
    <w:rsid w:val="0BF95B27"/>
    <w:rsid w:val="0BFC0546"/>
    <w:rsid w:val="0C027C10"/>
    <w:rsid w:val="0C0553E9"/>
    <w:rsid w:val="0C071099"/>
    <w:rsid w:val="0C0B13B7"/>
    <w:rsid w:val="0C0C529B"/>
    <w:rsid w:val="0C170960"/>
    <w:rsid w:val="0C213475"/>
    <w:rsid w:val="0C232BA4"/>
    <w:rsid w:val="0C28640C"/>
    <w:rsid w:val="0C2D57D1"/>
    <w:rsid w:val="0C30706F"/>
    <w:rsid w:val="0C395F24"/>
    <w:rsid w:val="0C3B3C7D"/>
    <w:rsid w:val="0C3B5F11"/>
    <w:rsid w:val="0C3C77C2"/>
    <w:rsid w:val="0C4A1EDF"/>
    <w:rsid w:val="0C4B4E04"/>
    <w:rsid w:val="0C4E6409"/>
    <w:rsid w:val="0C550884"/>
    <w:rsid w:val="0C5D62DC"/>
    <w:rsid w:val="0C5F7156"/>
    <w:rsid w:val="0C6453AA"/>
    <w:rsid w:val="0C6A07D3"/>
    <w:rsid w:val="0C6A5785"/>
    <w:rsid w:val="0C6C30D3"/>
    <w:rsid w:val="0C700B3C"/>
    <w:rsid w:val="0C7451AE"/>
    <w:rsid w:val="0C774C9E"/>
    <w:rsid w:val="0C7827E0"/>
    <w:rsid w:val="0C7F4D99"/>
    <w:rsid w:val="0C8A16B5"/>
    <w:rsid w:val="0C8A2C23"/>
    <w:rsid w:val="0C8D04BE"/>
    <w:rsid w:val="0C9141BA"/>
    <w:rsid w:val="0C9E6B7A"/>
    <w:rsid w:val="0CA154B4"/>
    <w:rsid w:val="0CA23AC9"/>
    <w:rsid w:val="0CA35A93"/>
    <w:rsid w:val="0CA62DD7"/>
    <w:rsid w:val="0CA91CAC"/>
    <w:rsid w:val="0CAB2EAE"/>
    <w:rsid w:val="0CB06EE6"/>
    <w:rsid w:val="0CB24D02"/>
    <w:rsid w:val="0CBD4DA7"/>
    <w:rsid w:val="0CC46135"/>
    <w:rsid w:val="0CCB78AA"/>
    <w:rsid w:val="0CCD3CE8"/>
    <w:rsid w:val="0CCE72BA"/>
    <w:rsid w:val="0CD40E99"/>
    <w:rsid w:val="0CDB3870"/>
    <w:rsid w:val="0CDD25C3"/>
    <w:rsid w:val="0CDE6ACB"/>
    <w:rsid w:val="0CE265BB"/>
    <w:rsid w:val="0CEC743A"/>
    <w:rsid w:val="0CF140C8"/>
    <w:rsid w:val="0CF40E60"/>
    <w:rsid w:val="0CF540F7"/>
    <w:rsid w:val="0CFE4601"/>
    <w:rsid w:val="0D17254D"/>
    <w:rsid w:val="0D183D8B"/>
    <w:rsid w:val="0D1E3490"/>
    <w:rsid w:val="0D237A7E"/>
    <w:rsid w:val="0D2B0DB5"/>
    <w:rsid w:val="0D464D9C"/>
    <w:rsid w:val="0D4728C2"/>
    <w:rsid w:val="0D4A34D1"/>
    <w:rsid w:val="0D550956"/>
    <w:rsid w:val="0D553231"/>
    <w:rsid w:val="0D5E5F82"/>
    <w:rsid w:val="0D621C7D"/>
    <w:rsid w:val="0D6C40D7"/>
    <w:rsid w:val="0D70597D"/>
    <w:rsid w:val="0D7A67F4"/>
    <w:rsid w:val="0D7C4F07"/>
    <w:rsid w:val="0D7C6A10"/>
    <w:rsid w:val="0D7E5D3F"/>
    <w:rsid w:val="0D7F59BD"/>
    <w:rsid w:val="0D837D9E"/>
    <w:rsid w:val="0D8E6743"/>
    <w:rsid w:val="0D916AF2"/>
    <w:rsid w:val="0D93034B"/>
    <w:rsid w:val="0D966794"/>
    <w:rsid w:val="0D9F6E66"/>
    <w:rsid w:val="0DA03D99"/>
    <w:rsid w:val="0DA06507"/>
    <w:rsid w:val="0DA10224"/>
    <w:rsid w:val="0DA9532B"/>
    <w:rsid w:val="0DAD01C0"/>
    <w:rsid w:val="0DB00467"/>
    <w:rsid w:val="0DB14432"/>
    <w:rsid w:val="0DB41737"/>
    <w:rsid w:val="0DD423A8"/>
    <w:rsid w:val="0DD5031B"/>
    <w:rsid w:val="0DD504E2"/>
    <w:rsid w:val="0DD56DAD"/>
    <w:rsid w:val="0DD93DBC"/>
    <w:rsid w:val="0DDC59AD"/>
    <w:rsid w:val="0DDC7AB4"/>
    <w:rsid w:val="0DDD120C"/>
    <w:rsid w:val="0DDD5CE6"/>
    <w:rsid w:val="0DE018AD"/>
    <w:rsid w:val="0DE10621"/>
    <w:rsid w:val="0DE12CBC"/>
    <w:rsid w:val="0DE64FFD"/>
    <w:rsid w:val="0DE87A99"/>
    <w:rsid w:val="0DED16BC"/>
    <w:rsid w:val="0DF67896"/>
    <w:rsid w:val="0DF74513"/>
    <w:rsid w:val="0DF90060"/>
    <w:rsid w:val="0DFC3351"/>
    <w:rsid w:val="0DFC36AD"/>
    <w:rsid w:val="0DFE341A"/>
    <w:rsid w:val="0E045665"/>
    <w:rsid w:val="0E082052"/>
    <w:rsid w:val="0E141B69"/>
    <w:rsid w:val="0E16722B"/>
    <w:rsid w:val="0E190362"/>
    <w:rsid w:val="0E1924B1"/>
    <w:rsid w:val="0E1A5BEB"/>
    <w:rsid w:val="0E1C3D4F"/>
    <w:rsid w:val="0E2B09FE"/>
    <w:rsid w:val="0E3167A6"/>
    <w:rsid w:val="0E370B89"/>
    <w:rsid w:val="0E386324"/>
    <w:rsid w:val="0E397503"/>
    <w:rsid w:val="0E3B5A87"/>
    <w:rsid w:val="0E464FCF"/>
    <w:rsid w:val="0E4B2E68"/>
    <w:rsid w:val="0E4C71A9"/>
    <w:rsid w:val="0E523139"/>
    <w:rsid w:val="0E5434E9"/>
    <w:rsid w:val="0E563CA1"/>
    <w:rsid w:val="0E581951"/>
    <w:rsid w:val="0E594836"/>
    <w:rsid w:val="0E5A2810"/>
    <w:rsid w:val="0E5E1C72"/>
    <w:rsid w:val="0E6A4ABA"/>
    <w:rsid w:val="0E6D6359"/>
    <w:rsid w:val="0E6F0323"/>
    <w:rsid w:val="0E7019A5"/>
    <w:rsid w:val="0E715E49"/>
    <w:rsid w:val="0E73034D"/>
    <w:rsid w:val="0E755354"/>
    <w:rsid w:val="0E8257DF"/>
    <w:rsid w:val="0E887DD3"/>
    <w:rsid w:val="0E8A42B8"/>
    <w:rsid w:val="0E8F4E04"/>
    <w:rsid w:val="0E920A4B"/>
    <w:rsid w:val="0E932533"/>
    <w:rsid w:val="0E992C24"/>
    <w:rsid w:val="0E9C0543"/>
    <w:rsid w:val="0E9C279A"/>
    <w:rsid w:val="0EA131D8"/>
    <w:rsid w:val="0EA54D63"/>
    <w:rsid w:val="0EA7186A"/>
    <w:rsid w:val="0EA9344C"/>
    <w:rsid w:val="0EB65F51"/>
    <w:rsid w:val="0EC52855"/>
    <w:rsid w:val="0EC57F43"/>
    <w:rsid w:val="0ECC1DD2"/>
    <w:rsid w:val="0EE47BF4"/>
    <w:rsid w:val="0EEA1757"/>
    <w:rsid w:val="0EEE56EB"/>
    <w:rsid w:val="0EF374D1"/>
    <w:rsid w:val="0EF56A7A"/>
    <w:rsid w:val="0EF66812"/>
    <w:rsid w:val="0EF83E74"/>
    <w:rsid w:val="0F000F7B"/>
    <w:rsid w:val="0F024CF3"/>
    <w:rsid w:val="0F0A1DF9"/>
    <w:rsid w:val="0F125E4D"/>
    <w:rsid w:val="0F13775A"/>
    <w:rsid w:val="0F171D8C"/>
    <w:rsid w:val="0F1C008B"/>
    <w:rsid w:val="0F1D1B2D"/>
    <w:rsid w:val="0F24261F"/>
    <w:rsid w:val="0F2509E1"/>
    <w:rsid w:val="0F2E7896"/>
    <w:rsid w:val="0F312AB7"/>
    <w:rsid w:val="0F331FBE"/>
    <w:rsid w:val="0F360E40"/>
    <w:rsid w:val="0F394507"/>
    <w:rsid w:val="0F3A34D9"/>
    <w:rsid w:val="0F4035AA"/>
    <w:rsid w:val="0F413159"/>
    <w:rsid w:val="0F44530B"/>
    <w:rsid w:val="0F4470B9"/>
    <w:rsid w:val="0F4C00E6"/>
    <w:rsid w:val="0F52189B"/>
    <w:rsid w:val="0F547969"/>
    <w:rsid w:val="0F563291"/>
    <w:rsid w:val="0F5F0397"/>
    <w:rsid w:val="0F5F45FE"/>
    <w:rsid w:val="0F693536"/>
    <w:rsid w:val="0F696B20"/>
    <w:rsid w:val="0F6A2898"/>
    <w:rsid w:val="0F6D4C1A"/>
    <w:rsid w:val="0F74588D"/>
    <w:rsid w:val="0F7C0EC8"/>
    <w:rsid w:val="0F7E1158"/>
    <w:rsid w:val="0F87169C"/>
    <w:rsid w:val="0F8751F8"/>
    <w:rsid w:val="0F8D3585"/>
    <w:rsid w:val="0F921360"/>
    <w:rsid w:val="0F993F6A"/>
    <w:rsid w:val="0F9A112B"/>
    <w:rsid w:val="0FA062BA"/>
    <w:rsid w:val="0FA61182"/>
    <w:rsid w:val="0FA83B24"/>
    <w:rsid w:val="0FA95EE0"/>
    <w:rsid w:val="0FAA3873"/>
    <w:rsid w:val="0FAE6C29"/>
    <w:rsid w:val="0FB6287A"/>
    <w:rsid w:val="0FBC1346"/>
    <w:rsid w:val="0FBF6787"/>
    <w:rsid w:val="0FC21BD9"/>
    <w:rsid w:val="0FC569D1"/>
    <w:rsid w:val="0FCD69CC"/>
    <w:rsid w:val="0FCE1079"/>
    <w:rsid w:val="0FD0094D"/>
    <w:rsid w:val="0FD04DF1"/>
    <w:rsid w:val="0FD52407"/>
    <w:rsid w:val="0FD53DAA"/>
    <w:rsid w:val="0FD92952"/>
    <w:rsid w:val="0FDA17CC"/>
    <w:rsid w:val="0FDC489E"/>
    <w:rsid w:val="0FE44DAE"/>
    <w:rsid w:val="0FE670A5"/>
    <w:rsid w:val="0FE73EE9"/>
    <w:rsid w:val="0FEE5277"/>
    <w:rsid w:val="0FEE5AA6"/>
    <w:rsid w:val="0FF6093C"/>
    <w:rsid w:val="10014FAA"/>
    <w:rsid w:val="10021981"/>
    <w:rsid w:val="1008458B"/>
    <w:rsid w:val="100A7BA3"/>
    <w:rsid w:val="100C11F9"/>
    <w:rsid w:val="100E45FA"/>
    <w:rsid w:val="10142F30"/>
    <w:rsid w:val="10172A20"/>
    <w:rsid w:val="101E3DAE"/>
    <w:rsid w:val="10284C2D"/>
    <w:rsid w:val="102D52B3"/>
    <w:rsid w:val="10303AE2"/>
    <w:rsid w:val="103233B6"/>
    <w:rsid w:val="1032785A"/>
    <w:rsid w:val="10361E6E"/>
    <w:rsid w:val="103957D5"/>
    <w:rsid w:val="103B4960"/>
    <w:rsid w:val="103B538E"/>
    <w:rsid w:val="104135F9"/>
    <w:rsid w:val="10424004"/>
    <w:rsid w:val="10463305"/>
    <w:rsid w:val="10482E63"/>
    <w:rsid w:val="10496A8E"/>
    <w:rsid w:val="104A6708"/>
    <w:rsid w:val="104C5FFD"/>
    <w:rsid w:val="104F3F68"/>
    <w:rsid w:val="10523A58"/>
    <w:rsid w:val="105301E8"/>
    <w:rsid w:val="10582E9D"/>
    <w:rsid w:val="10595EF3"/>
    <w:rsid w:val="105B22CB"/>
    <w:rsid w:val="1065378B"/>
    <w:rsid w:val="10683359"/>
    <w:rsid w:val="106D2640"/>
    <w:rsid w:val="106D2F64"/>
    <w:rsid w:val="10761145"/>
    <w:rsid w:val="108300B5"/>
    <w:rsid w:val="108A31F2"/>
    <w:rsid w:val="10991E27"/>
    <w:rsid w:val="109B0D17"/>
    <w:rsid w:val="10A83678"/>
    <w:rsid w:val="10AB12C6"/>
    <w:rsid w:val="10AB63CF"/>
    <w:rsid w:val="10AF4A06"/>
    <w:rsid w:val="10B47313"/>
    <w:rsid w:val="10B63710"/>
    <w:rsid w:val="10BB48DF"/>
    <w:rsid w:val="10BC3E89"/>
    <w:rsid w:val="10BD3AA2"/>
    <w:rsid w:val="10C0375D"/>
    <w:rsid w:val="10C0614C"/>
    <w:rsid w:val="10C61D50"/>
    <w:rsid w:val="10CA706C"/>
    <w:rsid w:val="10CB1539"/>
    <w:rsid w:val="10D12BCF"/>
    <w:rsid w:val="10D601E5"/>
    <w:rsid w:val="10D94C27"/>
    <w:rsid w:val="10DB6D46"/>
    <w:rsid w:val="10DD4F94"/>
    <w:rsid w:val="10E32514"/>
    <w:rsid w:val="10E908C2"/>
    <w:rsid w:val="10EC085B"/>
    <w:rsid w:val="10F10820"/>
    <w:rsid w:val="10F22B45"/>
    <w:rsid w:val="10F36FE9"/>
    <w:rsid w:val="10F445AC"/>
    <w:rsid w:val="10F90377"/>
    <w:rsid w:val="10FA5A47"/>
    <w:rsid w:val="11085112"/>
    <w:rsid w:val="111341EE"/>
    <w:rsid w:val="1119164B"/>
    <w:rsid w:val="111B02EE"/>
    <w:rsid w:val="111B6540"/>
    <w:rsid w:val="111C2F7A"/>
    <w:rsid w:val="11200538"/>
    <w:rsid w:val="112076B2"/>
    <w:rsid w:val="1125116C"/>
    <w:rsid w:val="112E0021"/>
    <w:rsid w:val="11352393"/>
    <w:rsid w:val="11362386"/>
    <w:rsid w:val="11364A6A"/>
    <w:rsid w:val="11380EA0"/>
    <w:rsid w:val="113849FC"/>
    <w:rsid w:val="113A2365"/>
    <w:rsid w:val="113A4DAC"/>
    <w:rsid w:val="113B28A3"/>
    <w:rsid w:val="113B4369"/>
    <w:rsid w:val="11407C56"/>
    <w:rsid w:val="114856A6"/>
    <w:rsid w:val="11496C09"/>
    <w:rsid w:val="11496EC2"/>
    <w:rsid w:val="11515ABE"/>
    <w:rsid w:val="115521CA"/>
    <w:rsid w:val="115630D4"/>
    <w:rsid w:val="11580205"/>
    <w:rsid w:val="116021A5"/>
    <w:rsid w:val="116137EE"/>
    <w:rsid w:val="11645C4A"/>
    <w:rsid w:val="11665CA1"/>
    <w:rsid w:val="116752E1"/>
    <w:rsid w:val="116A0877"/>
    <w:rsid w:val="116C7B85"/>
    <w:rsid w:val="11716160"/>
    <w:rsid w:val="117A06DD"/>
    <w:rsid w:val="117B6FDE"/>
    <w:rsid w:val="117C5F24"/>
    <w:rsid w:val="117E7BE8"/>
    <w:rsid w:val="118249EA"/>
    <w:rsid w:val="11874F5B"/>
    <w:rsid w:val="1188466F"/>
    <w:rsid w:val="118E0AC0"/>
    <w:rsid w:val="119806F2"/>
    <w:rsid w:val="119C062F"/>
    <w:rsid w:val="119C4486"/>
    <w:rsid w:val="11A023A5"/>
    <w:rsid w:val="11A025A1"/>
    <w:rsid w:val="11A6291D"/>
    <w:rsid w:val="11AA6999"/>
    <w:rsid w:val="11B00A36"/>
    <w:rsid w:val="11B01980"/>
    <w:rsid w:val="11C10120"/>
    <w:rsid w:val="11C13CB9"/>
    <w:rsid w:val="11C15B1C"/>
    <w:rsid w:val="11C62F10"/>
    <w:rsid w:val="11C71E40"/>
    <w:rsid w:val="11D25478"/>
    <w:rsid w:val="11D81D3B"/>
    <w:rsid w:val="11DC7A7D"/>
    <w:rsid w:val="11E077A1"/>
    <w:rsid w:val="11E20E0C"/>
    <w:rsid w:val="11E3705D"/>
    <w:rsid w:val="11E42DD6"/>
    <w:rsid w:val="11E84674"/>
    <w:rsid w:val="11E86A3A"/>
    <w:rsid w:val="11EB462D"/>
    <w:rsid w:val="11EC7257"/>
    <w:rsid w:val="11EE155E"/>
    <w:rsid w:val="11F52D2D"/>
    <w:rsid w:val="11F6358B"/>
    <w:rsid w:val="11FE3E97"/>
    <w:rsid w:val="11FF27F2"/>
    <w:rsid w:val="1202500A"/>
    <w:rsid w:val="12047144"/>
    <w:rsid w:val="12097BB6"/>
    <w:rsid w:val="120D4FD7"/>
    <w:rsid w:val="12274A70"/>
    <w:rsid w:val="122D652B"/>
    <w:rsid w:val="123442B3"/>
    <w:rsid w:val="123478B9"/>
    <w:rsid w:val="123553DF"/>
    <w:rsid w:val="12357539"/>
    <w:rsid w:val="1235791F"/>
    <w:rsid w:val="12370423"/>
    <w:rsid w:val="12380A2C"/>
    <w:rsid w:val="12386C7D"/>
    <w:rsid w:val="123C051C"/>
    <w:rsid w:val="123E24E6"/>
    <w:rsid w:val="123F000C"/>
    <w:rsid w:val="123F0A19"/>
    <w:rsid w:val="12433167"/>
    <w:rsid w:val="124A70DD"/>
    <w:rsid w:val="124B691D"/>
    <w:rsid w:val="124E024F"/>
    <w:rsid w:val="1251186F"/>
    <w:rsid w:val="125A4E46"/>
    <w:rsid w:val="125A520A"/>
    <w:rsid w:val="125C0BBE"/>
    <w:rsid w:val="125C296C"/>
    <w:rsid w:val="12614426"/>
    <w:rsid w:val="12621BE0"/>
    <w:rsid w:val="126253AF"/>
    <w:rsid w:val="12650FBB"/>
    <w:rsid w:val="126C4848"/>
    <w:rsid w:val="126F6B43"/>
    <w:rsid w:val="12716B5E"/>
    <w:rsid w:val="1272218F"/>
    <w:rsid w:val="127741A2"/>
    <w:rsid w:val="12816876"/>
    <w:rsid w:val="12883761"/>
    <w:rsid w:val="12887C05"/>
    <w:rsid w:val="128E1E81"/>
    <w:rsid w:val="12900868"/>
    <w:rsid w:val="12931BD0"/>
    <w:rsid w:val="129465AA"/>
    <w:rsid w:val="129640D0"/>
    <w:rsid w:val="12985F6F"/>
    <w:rsid w:val="129C5468"/>
    <w:rsid w:val="129E2F84"/>
    <w:rsid w:val="12A460C1"/>
    <w:rsid w:val="12A90552"/>
    <w:rsid w:val="12B44556"/>
    <w:rsid w:val="12BF610F"/>
    <w:rsid w:val="12C02EFB"/>
    <w:rsid w:val="12C27A9B"/>
    <w:rsid w:val="12CB10A8"/>
    <w:rsid w:val="12CE33E2"/>
    <w:rsid w:val="12D20E80"/>
    <w:rsid w:val="12D544CC"/>
    <w:rsid w:val="12D75AD8"/>
    <w:rsid w:val="12DC16DF"/>
    <w:rsid w:val="12E017EF"/>
    <w:rsid w:val="12E149D5"/>
    <w:rsid w:val="12E34E3B"/>
    <w:rsid w:val="12E46437"/>
    <w:rsid w:val="12E56E05"/>
    <w:rsid w:val="12E84200"/>
    <w:rsid w:val="12F327F4"/>
    <w:rsid w:val="12F547BE"/>
    <w:rsid w:val="12F86B39"/>
    <w:rsid w:val="12F9530C"/>
    <w:rsid w:val="130152C1"/>
    <w:rsid w:val="1303728B"/>
    <w:rsid w:val="13074296"/>
    <w:rsid w:val="130A641B"/>
    <w:rsid w:val="13136497"/>
    <w:rsid w:val="13180F89"/>
    <w:rsid w:val="13182D37"/>
    <w:rsid w:val="13191D25"/>
    <w:rsid w:val="131B6383"/>
    <w:rsid w:val="131D659F"/>
    <w:rsid w:val="132329DC"/>
    <w:rsid w:val="132A0CBC"/>
    <w:rsid w:val="132A26A5"/>
    <w:rsid w:val="13340E8C"/>
    <w:rsid w:val="133718B3"/>
    <w:rsid w:val="133D279D"/>
    <w:rsid w:val="134419BE"/>
    <w:rsid w:val="13463882"/>
    <w:rsid w:val="13497394"/>
    <w:rsid w:val="13504E9C"/>
    <w:rsid w:val="13597286"/>
    <w:rsid w:val="13603B29"/>
    <w:rsid w:val="13623FB2"/>
    <w:rsid w:val="136559E9"/>
    <w:rsid w:val="136E6DFB"/>
    <w:rsid w:val="137A72B0"/>
    <w:rsid w:val="137E7FDD"/>
    <w:rsid w:val="138163AA"/>
    <w:rsid w:val="13825653"/>
    <w:rsid w:val="138462AD"/>
    <w:rsid w:val="13883C53"/>
    <w:rsid w:val="138E61A0"/>
    <w:rsid w:val="13901EF2"/>
    <w:rsid w:val="13946135"/>
    <w:rsid w:val="13951726"/>
    <w:rsid w:val="13960100"/>
    <w:rsid w:val="13AC7923"/>
    <w:rsid w:val="13B53FF6"/>
    <w:rsid w:val="13B80076"/>
    <w:rsid w:val="13BC0C8C"/>
    <w:rsid w:val="13BD40F7"/>
    <w:rsid w:val="13BD7988"/>
    <w:rsid w:val="13C22CA3"/>
    <w:rsid w:val="13C702B9"/>
    <w:rsid w:val="13CC1D73"/>
    <w:rsid w:val="13CC3B21"/>
    <w:rsid w:val="13D52441"/>
    <w:rsid w:val="13DF4A75"/>
    <w:rsid w:val="13E3628F"/>
    <w:rsid w:val="13E640F2"/>
    <w:rsid w:val="13E6621A"/>
    <w:rsid w:val="13EA686C"/>
    <w:rsid w:val="13EF717F"/>
    <w:rsid w:val="13FB6CB1"/>
    <w:rsid w:val="13FD36FE"/>
    <w:rsid w:val="14051002"/>
    <w:rsid w:val="140D4508"/>
    <w:rsid w:val="140D6614"/>
    <w:rsid w:val="14117786"/>
    <w:rsid w:val="14132784"/>
    <w:rsid w:val="141A488D"/>
    <w:rsid w:val="141D612B"/>
    <w:rsid w:val="141E12D2"/>
    <w:rsid w:val="1424395D"/>
    <w:rsid w:val="142474B9"/>
    <w:rsid w:val="14270D58"/>
    <w:rsid w:val="14290F74"/>
    <w:rsid w:val="142C636E"/>
    <w:rsid w:val="14396509"/>
    <w:rsid w:val="14407B8F"/>
    <w:rsid w:val="1443249A"/>
    <w:rsid w:val="14436C68"/>
    <w:rsid w:val="144B3AE7"/>
    <w:rsid w:val="144D4C62"/>
    <w:rsid w:val="145558C5"/>
    <w:rsid w:val="1455707F"/>
    <w:rsid w:val="1457163D"/>
    <w:rsid w:val="14596876"/>
    <w:rsid w:val="1461426A"/>
    <w:rsid w:val="1463661F"/>
    <w:rsid w:val="1468508E"/>
    <w:rsid w:val="146D5D07"/>
    <w:rsid w:val="147028DC"/>
    <w:rsid w:val="147246C9"/>
    <w:rsid w:val="14773EFC"/>
    <w:rsid w:val="1478349D"/>
    <w:rsid w:val="147F6DE6"/>
    <w:rsid w:val="14814062"/>
    <w:rsid w:val="1483064F"/>
    <w:rsid w:val="14887A48"/>
    <w:rsid w:val="14924373"/>
    <w:rsid w:val="14944438"/>
    <w:rsid w:val="1496243B"/>
    <w:rsid w:val="149D0E1B"/>
    <w:rsid w:val="149F4D92"/>
    <w:rsid w:val="14A25152"/>
    <w:rsid w:val="14A44C48"/>
    <w:rsid w:val="14A85CF4"/>
    <w:rsid w:val="14A97478"/>
    <w:rsid w:val="14AA20B4"/>
    <w:rsid w:val="14AC445D"/>
    <w:rsid w:val="14B00D4D"/>
    <w:rsid w:val="14B50166"/>
    <w:rsid w:val="14B53F4E"/>
    <w:rsid w:val="14B71FC3"/>
    <w:rsid w:val="14B720DC"/>
    <w:rsid w:val="14BB527A"/>
    <w:rsid w:val="14BC1DE8"/>
    <w:rsid w:val="14C116E2"/>
    <w:rsid w:val="14C173FE"/>
    <w:rsid w:val="14C60571"/>
    <w:rsid w:val="14C64A14"/>
    <w:rsid w:val="14D27219"/>
    <w:rsid w:val="14D56A06"/>
    <w:rsid w:val="14D97568"/>
    <w:rsid w:val="14DA7DAC"/>
    <w:rsid w:val="14DD2C3C"/>
    <w:rsid w:val="14E659BE"/>
    <w:rsid w:val="14E71E77"/>
    <w:rsid w:val="14E86739"/>
    <w:rsid w:val="14ED2C22"/>
    <w:rsid w:val="14F20D0A"/>
    <w:rsid w:val="14FE5F5C"/>
    <w:rsid w:val="14FE7695"/>
    <w:rsid w:val="15007F26"/>
    <w:rsid w:val="1504755B"/>
    <w:rsid w:val="15054F9B"/>
    <w:rsid w:val="151B1BDB"/>
    <w:rsid w:val="151C7F6C"/>
    <w:rsid w:val="15205ED3"/>
    <w:rsid w:val="152D05F0"/>
    <w:rsid w:val="152F4368"/>
    <w:rsid w:val="15363948"/>
    <w:rsid w:val="153674A4"/>
    <w:rsid w:val="15373406"/>
    <w:rsid w:val="15377B12"/>
    <w:rsid w:val="153B2D0D"/>
    <w:rsid w:val="153F078B"/>
    <w:rsid w:val="153F13CA"/>
    <w:rsid w:val="15402713"/>
    <w:rsid w:val="154047C7"/>
    <w:rsid w:val="154F7F01"/>
    <w:rsid w:val="15504684"/>
    <w:rsid w:val="1551198D"/>
    <w:rsid w:val="15514806"/>
    <w:rsid w:val="155B515D"/>
    <w:rsid w:val="155B6F0B"/>
    <w:rsid w:val="155C4A63"/>
    <w:rsid w:val="15630749"/>
    <w:rsid w:val="156A4E79"/>
    <w:rsid w:val="156F6E5A"/>
    <w:rsid w:val="15791EA6"/>
    <w:rsid w:val="157F0B29"/>
    <w:rsid w:val="1585667E"/>
    <w:rsid w:val="15875F52"/>
    <w:rsid w:val="158B3076"/>
    <w:rsid w:val="158B52FB"/>
    <w:rsid w:val="158C3568"/>
    <w:rsid w:val="159863B1"/>
    <w:rsid w:val="159B26C7"/>
    <w:rsid w:val="159D39C7"/>
    <w:rsid w:val="159D5D78"/>
    <w:rsid w:val="15A22D8C"/>
    <w:rsid w:val="15A4082F"/>
    <w:rsid w:val="15A64FE4"/>
    <w:rsid w:val="15A85BD2"/>
    <w:rsid w:val="15A91924"/>
    <w:rsid w:val="15AD22FD"/>
    <w:rsid w:val="15B0683F"/>
    <w:rsid w:val="15B36D47"/>
    <w:rsid w:val="15B70F3E"/>
    <w:rsid w:val="15BB5BFB"/>
    <w:rsid w:val="15BC35D5"/>
    <w:rsid w:val="15C26F8A"/>
    <w:rsid w:val="15C56A7A"/>
    <w:rsid w:val="15CB5E68"/>
    <w:rsid w:val="15D05B4B"/>
    <w:rsid w:val="15D171CD"/>
    <w:rsid w:val="15D373E9"/>
    <w:rsid w:val="15DD7F7C"/>
    <w:rsid w:val="15E11B06"/>
    <w:rsid w:val="15E213DA"/>
    <w:rsid w:val="15ED7568"/>
    <w:rsid w:val="15F55CFA"/>
    <w:rsid w:val="15F81247"/>
    <w:rsid w:val="15FA4976"/>
    <w:rsid w:val="15FD7FC2"/>
    <w:rsid w:val="160142ED"/>
    <w:rsid w:val="160159DE"/>
    <w:rsid w:val="16087E1D"/>
    <w:rsid w:val="1609105D"/>
    <w:rsid w:val="160937DE"/>
    <w:rsid w:val="161A5018"/>
    <w:rsid w:val="16212CBB"/>
    <w:rsid w:val="16261A07"/>
    <w:rsid w:val="16290DB7"/>
    <w:rsid w:val="16297D48"/>
    <w:rsid w:val="162A73B3"/>
    <w:rsid w:val="162B0FD3"/>
    <w:rsid w:val="162B4B2F"/>
    <w:rsid w:val="162C5E35"/>
    <w:rsid w:val="162D573E"/>
    <w:rsid w:val="162E71AF"/>
    <w:rsid w:val="16302145"/>
    <w:rsid w:val="163D2AB4"/>
    <w:rsid w:val="164D0F49"/>
    <w:rsid w:val="16534086"/>
    <w:rsid w:val="16583BA8"/>
    <w:rsid w:val="165B2F3A"/>
    <w:rsid w:val="16614BA8"/>
    <w:rsid w:val="16662C80"/>
    <w:rsid w:val="166718DF"/>
    <w:rsid w:val="16677B31"/>
    <w:rsid w:val="166B13D0"/>
    <w:rsid w:val="166E1962"/>
    <w:rsid w:val="16842BCA"/>
    <w:rsid w:val="16883EC5"/>
    <w:rsid w:val="168C1346"/>
    <w:rsid w:val="16937E96"/>
    <w:rsid w:val="169E4C30"/>
    <w:rsid w:val="169E79F7"/>
    <w:rsid w:val="169F551D"/>
    <w:rsid w:val="16A13043"/>
    <w:rsid w:val="16AD7C3A"/>
    <w:rsid w:val="16B1514E"/>
    <w:rsid w:val="16B70595"/>
    <w:rsid w:val="16B74615"/>
    <w:rsid w:val="16BD1E81"/>
    <w:rsid w:val="16BF1B07"/>
    <w:rsid w:val="16BF796D"/>
    <w:rsid w:val="16C36A0A"/>
    <w:rsid w:val="16C44F84"/>
    <w:rsid w:val="16C77949"/>
    <w:rsid w:val="16C84A74"/>
    <w:rsid w:val="16CB1E6E"/>
    <w:rsid w:val="16D24B10"/>
    <w:rsid w:val="16D50F3F"/>
    <w:rsid w:val="16DD179D"/>
    <w:rsid w:val="16E22671"/>
    <w:rsid w:val="16E73D24"/>
    <w:rsid w:val="16EC0753"/>
    <w:rsid w:val="16ED64EF"/>
    <w:rsid w:val="16EF3DAF"/>
    <w:rsid w:val="16F329F2"/>
    <w:rsid w:val="16F6795A"/>
    <w:rsid w:val="16FA6160"/>
    <w:rsid w:val="16FB47B8"/>
    <w:rsid w:val="16FD49C4"/>
    <w:rsid w:val="16FF6BC8"/>
    <w:rsid w:val="1706559C"/>
    <w:rsid w:val="170C0E28"/>
    <w:rsid w:val="171234B7"/>
    <w:rsid w:val="171671DE"/>
    <w:rsid w:val="17190D87"/>
    <w:rsid w:val="171A4BA4"/>
    <w:rsid w:val="17255A22"/>
    <w:rsid w:val="172A128B"/>
    <w:rsid w:val="172F064F"/>
    <w:rsid w:val="173059F6"/>
    <w:rsid w:val="17362524"/>
    <w:rsid w:val="17400AAE"/>
    <w:rsid w:val="17424826"/>
    <w:rsid w:val="17577348"/>
    <w:rsid w:val="175C51BC"/>
    <w:rsid w:val="175D4C27"/>
    <w:rsid w:val="175E4E08"/>
    <w:rsid w:val="175E7186"/>
    <w:rsid w:val="17655D76"/>
    <w:rsid w:val="176A1687"/>
    <w:rsid w:val="176C3078"/>
    <w:rsid w:val="17701D14"/>
    <w:rsid w:val="17735226"/>
    <w:rsid w:val="17754028"/>
    <w:rsid w:val="177D4FD1"/>
    <w:rsid w:val="17834AF8"/>
    <w:rsid w:val="178A7F7B"/>
    <w:rsid w:val="178B40C0"/>
    <w:rsid w:val="178D1819"/>
    <w:rsid w:val="179027E4"/>
    <w:rsid w:val="17965F4F"/>
    <w:rsid w:val="17A458C6"/>
    <w:rsid w:val="17A713EB"/>
    <w:rsid w:val="17A821AF"/>
    <w:rsid w:val="17AA1B99"/>
    <w:rsid w:val="17B11E7F"/>
    <w:rsid w:val="17B13963"/>
    <w:rsid w:val="17B144D9"/>
    <w:rsid w:val="17B9167F"/>
    <w:rsid w:val="17BB6EEA"/>
    <w:rsid w:val="17BD3EAD"/>
    <w:rsid w:val="17BE16AC"/>
    <w:rsid w:val="17C52D61"/>
    <w:rsid w:val="17C53B6B"/>
    <w:rsid w:val="17C74D2B"/>
    <w:rsid w:val="17CB6D2A"/>
    <w:rsid w:val="17CC1702"/>
    <w:rsid w:val="17D27300"/>
    <w:rsid w:val="17D336D0"/>
    <w:rsid w:val="17D6023F"/>
    <w:rsid w:val="17D66D1D"/>
    <w:rsid w:val="17D86F39"/>
    <w:rsid w:val="17D97528"/>
    <w:rsid w:val="17E21B65"/>
    <w:rsid w:val="17E610B2"/>
    <w:rsid w:val="17F13B56"/>
    <w:rsid w:val="17F32CA0"/>
    <w:rsid w:val="17FA6EAF"/>
    <w:rsid w:val="17FD17FB"/>
    <w:rsid w:val="18016734"/>
    <w:rsid w:val="180715CC"/>
    <w:rsid w:val="18191A47"/>
    <w:rsid w:val="182040FE"/>
    <w:rsid w:val="182201B4"/>
    <w:rsid w:val="1823063E"/>
    <w:rsid w:val="18273A1C"/>
    <w:rsid w:val="182B7359"/>
    <w:rsid w:val="18316649"/>
    <w:rsid w:val="183471DC"/>
    <w:rsid w:val="18351C95"/>
    <w:rsid w:val="184602A0"/>
    <w:rsid w:val="18467F04"/>
    <w:rsid w:val="184C5E89"/>
    <w:rsid w:val="184E2D57"/>
    <w:rsid w:val="185120EE"/>
    <w:rsid w:val="1853782A"/>
    <w:rsid w:val="18574301"/>
    <w:rsid w:val="185F1F41"/>
    <w:rsid w:val="185F4F64"/>
    <w:rsid w:val="1865316C"/>
    <w:rsid w:val="186802BC"/>
    <w:rsid w:val="186A0AA5"/>
    <w:rsid w:val="186C7681"/>
    <w:rsid w:val="186D1754"/>
    <w:rsid w:val="186D58D3"/>
    <w:rsid w:val="187622AE"/>
    <w:rsid w:val="187B13DB"/>
    <w:rsid w:val="187E0854"/>
    <w:rsid w:val="187E5D01"/>
    <w:rsid w:val="18807E18"/>
    <w:rsid w:val="1881137E"/>
    <w:rsid w:val="18822A00"/>
    <w:rsid w:val="18860BE0"/>
    <w:rsid w:val="188B7B07"/>
    <w:rsid w:val="18910E95"/>
    <w:rsid w:val="1894226E"/>
    <w:rsid w:val="189750C9"/>
    <w:rsid w:val="189D783A"/>
    <w:rsid w:val="189F624C"/>
    <w:rsid w:val="18A23A0A"/>
    <w:rsid w:val="18A4506D"/>
    <w:rsid w:val="18A46A4A"/>
    <w:rsid w:val="18AC3BA4"/>
    <w:rsid w:val="18AC5CCF"/>
    <w:rsid w:val="18BA03EC"/>
    <w:rsid w:val="18BA122C"/>
    <w:rsid w:val="18BE642A"/>
    <w:rsid w:val="18C215ED"/>
    <w:rsid w:val="18C903CB"/>
    <w:rsid w:val="18DD76B6"/>
    <w:rsid w:val="18E97F2E"/>
    <w:rsid w:val="18EB6D72"/>
    <w:rsid w:val="18EC14D7"/>
    <w:rsid w:val="18ED2570"/>
    <w:rsid w:val="18F239BE"/>
    <w:rsid w:val="18F338FE"/>
    <w:rsid w:val="18FE477D"/>
    <w:rsid w:val="191725FC"/>
    <w:rsid w:val="191754B5"/>
    <w:rsid w:val="191D725F"/>
    <w:rsid w:val="191E6BCD"/>
    <w:rsid w:val="19257F5C"/>
    <w:rsid w:val="192C753C"/>
    <w:rsid w:val="19311E5E"/>
    <w:rsid w:val="193901B4"/>
    <w:rsid w:val="193A37E8"/>
    <w:rsid w:val="193C52A5"/>
    <w:rsid w:val="19410B0E"/>
    <w:rsid w:val="19445237"/>
    <w:rsid w:val="19460FDF"/>
    <w:rsid w:val="19467ED2"/>
    <w:rsid w:val="194869A1"/>
    <w:rsid w:val="194A1F0C"/>
    <w:rsid w:val="194B2B63"/>
    <w:rsid w:val="194D4A89"/>
    <w:rsid w:val="194F322A"/>
    <w:rsid w:val="19517D2B"/>
    <w:rsid w:val="1956519A"/>
    <w:rsid w:val="195C21FE"/>
    <w:rsid w:val="195F7FBB"/>
    <w:rsid w:val="19616ABA"/>
    <w:rsid w:val="19630A84"/>
    <w:rsid w:val="196B7D40"/>
    <w:rsid w:val="196C293E"/>
    <w:rsid w:val="196D0FF6"/>
    <w:rsid w:val="19704F75"/>
    <w:rsid w:val="197965D6"/>
    <w:rsid w:val="197E126A"/>
    <w:rsid w:val="19812A55"/>
    <w:rsid w:val="19813167"/>
    <w:rsid w:val="19895014"/>
    <w:rsid w:val="198D5B01"/>
    <w:rsid w:val="199270CB"/>
    <w:rsid w:val="199724DC"/>
    <w:rsid w:val="19990617"/>
    <w:rsid w:val="199B1709"/>
    <w:rsid w:val="199D5F29"/>
    <w:rsid w:val="19A923FB"/>
    <w:rsid w:val="19AA0461"/>
    <w:rsid w:val="19AD7F51"/>
    <w:rsid w:val="19AF6A76"/>
    <w:rsid w:val="19B258BE"/>
    <w:rsid w:val="19B65058"/>
    <w:rsid w:val="19C45854"/>
    <w:rsid w:val="19C57049"/>
    <w:rsid w:val="19C86B39"/>
    <w:rsid w:val="19CB0682"/>
    <w:rsid w:val="19CF6119"/>
    <w:rsid w:val="19D51CEB"/>
    <w:rsid w:val="19DA170E"/>
    <w:rsid w:val="19E07E15"/>
    <w:rsid w:val="19E11A43"/>
    <w:rsid w:val="19E27BFB"/>
    <w:rsid w:val="19E51336"/>
    <w:rsid w:val="19E51499"/>
    <w:rsid w:val="19F27994"/>
    <w:rsid w:val="19F34C20"/>
    <w:rsid w:val="19F75672"/>
    <w:rsid w:val="19F9724D"/>
    <w:rsid w:val="1A110DAE"/>
    <w:rsid w:val="1A112A6C"/>
    <w:rsid w:val="1A18186E"/>
    <w:rsid w:val="1A1965AD"/>
    <w:rsid w:val="1A1C66C0"/>
    <w:rsid w:val="1A1E37AD"/>
    <w:rsid w:val="1A1E49AB"/>
    <w:rsid w:val="1A20205B"/>
    <w:rsid w:val="1A22456D"/>
    <w:rsid w:val="1A255D39"/>
    <w:rsid w:val="1A2E2E40"/>
    <w:rsid w:val="1A315A3C"/>
    <w:rsid w:val="1A323848"/>
    <w:rsid w:val="1A381625"/>
    <w:rsid w:val="1A3A7A37"/>
    <w:rsid w:val="1A3B4A49"/>
    <w:rsid w:val="1A3F02AE"/>
    <w:rsid w:val="1A3F6DFB"/>
    <w:rsid w:val="1A402B73"/>
    <w:rsid w:val="1A4207AB"/>
    <w:rsid w:val="1A42393B"/>
    <w:rsid w:val="1A45329D"/>
    <w:rsid w:val="1A46462D"/>
    <w:rsid w:val="1A4B53CD"/>
    <w:rsid w:val="1A534654"/>
    <w:rsid w:val="1A580012"/>
    <w:rsid w:val="1A586D13"/>
    <w:rsid w:val="1A5A452D"/>
    <w:rsid w:val="1A681208"/>
    <w:rsid w:val="1A6A7C51"/>
    <w:rsid w:val="1A71188E"/>
    <w:rsid w:val="1A772CB8"/>
    <w:rsid w:val="1A7C336C"/>
    <w:rsid w:val="1A7D4D49"/>
    <w:rsid w:val="1A7E6E3B"/>
    <w:rsid w:val="1A864A2A"/>
    <w:rsid w:val="1A8707A2"/>
    <w:rsid w:val="1A8D169B"/>
    <w:rsid w:val="1A91063C"/>
    <w:rsid w:val="1A9E2970"/>
    <w:rsid w:val="1A9F3D3E"/>
    <w:rsid w:val="1AA2738A"/>
    <w:rsid w:val="1AA64C6D"/>
    <w:rsid w:val="1AA749A0"/>
    <w:rsid w:val="1AA83C54"/>
    <w:rsid w:val="1AA83FBF"/>
    <w:rsid w:val="1AA9696A"/>
    <w:rsid w:val="1AAB3FD6"/>
    <w:rsid w:val="1AAD45DE"/>
    <w:rsid w:val="1AAD645B"/>
    <w:rsid w:val="1AAE3F81"/>
    <w:rsid w:val="1AB55804"/>
    <w:rsid w:val="1AB81606"/>
    <w:rsid w:val="1ABA566D"/>
    <w:rsid w:val="1ABC044C"/>
    <w:rsid w:val="1AC13CB4"/>
    <w:rsid w:val="1ACB4B33"/>
    <w:rsid w:val="1ACC2EC5"/>
    <w:rsid w:val="1AD02149"/>
    <w:rsid w:val="1AD5150D"/>
    <w:rsid w:val="1AD6247B"/>
    <w:rsid w:val="1ADA257D"/>
    <w:rsid w:val="1ADC6132"/>
    <w:rsid w:val="1ADC6D40"/>
    <w:rsid w:val="1AE24E86"/>
    <w:rsid w:val="1AE300CE"/>
    <w:rsid w:val="1AE6634E"/>
    <w:rsid w:val="1AF04599"/>
    <w:rsid w:val="1AF1038D"/>
    <w:rsid w:val="1AFA18D9"/>
    <w:rsid w:val="1B0378E5"/>
    <w:rsid w:val="1B046F80"/>
    <w:rsid w:val="1B047EBE"/>
    <w:rsid w:val="1B063DBD"/>
    <w:rsid w:val="1B0A0ACD"/>
    <w:rsid w:val="1B0E7B94"/>
    <w:rsid w:val="1B100797"/>
    <w:rsid w:val="1B132036"/>
    <w:rsid w:val="1B140288"/>
    <w:rsid w:val="1B18764C"/>
    <w:rsid w:val="1B19589E"/>
    <w:rsid w:val="1B1A1616"/>
    <w:rsid w:val="1B1F358D"/>
    <w:rsid w:val="1B214753"/>
    <w:rsid w:val="1B23273D"/>
    <w:rsid w:val="1B285AE1"/>
    <w:rsid w:val="1B28788F"/>
    <w:rsid w:val="1B2C1A7B"/>
    <w:rsid w:val="1B302973"/>
    <w:rsid w:val="1B31394E"/>
    <w:rsid w:val="1B3267B5"/>
    <w:rsid w:val="1B3E075A"/>
    <w:rsid w:val="1B40161D"/>
    <w:rsid w:val="1B441859"/>
    <w:rsid w:val="1B51720E"/>
    <w:rsid w:val="1B610FF3"/>
    <w:rsid w:val="1B6606B1"/>
    <w:rsid w:val="1B66485B"/>
    <w:rsid w:val="1B69678F"/>
    <w:rsid w:val="1B6F0009"/>
    <w:rsid w:val="1B6F54BE"/>
    <w:rsid w:val="1B724FAE"/>
    <w:rsid w:val="1B740D26"/>
    <w:rsid w:val="1B7C7BDB"/>
    <w:rsid w:val="1B820FC4"/>
    <w:rsid w:val="1B866036"/>
    <w:rsid w:val="1B914DDF"/>
    <w:rsid w:val="1B921470"/>
    <w:rsid w:val="1B9A1119"/>
    <w:rsid w:val="1B9A2D31"/>
    <w:rsid w:val="1B9B5D1B"/>
    <w:rsid w:val="1B9F3F11"/>
    <w:rsid w:val="1BA350A1"/>
    <w:rsid w:val="1BA40BA4"/>
    <w:rsid w:val="1BA55384"/>
    <w:rsid w:val="1BA63D15"/>
    <w:rsid w:val="1BAC1941"/>
    <w:rsid w:val="1BAF1D5E"/>
    <w:rsid w:val="1BB1629F"/>
    <w:rsid w:val="1BB24D8E"/>
    <w:rsid w:val="1BB5545E"/>
    <w:rsid w:val="1BB76E65"/>
    <w:rsid w:val="1BBC447B"/>
    <w:rsid w:val="1BBE4697"/>
    <w:rsid w:val="1BBE6445"/>
    <w:rsid w:val="1BBF70A4"/>
    <w:rsid w:val="1BC17CE4"/>
    <w:rsid w:val="1BC31CAE"/>
    <w:rsid w:val="1BC51582"/>
    <w:rsid w:val="1BCC43CD"/>
    <w:rsid w:val="1BCD714A"/>
    <w:rsid w:val="1BCF2F69"/>
    <w:rsid w:val="1BCF32CC"/>
    <w:rsid w:val="1BD01CD5"/>
    <w:rsid w:val="1BD41C41"/>
    <w:rsid w:val="1BE063BC"/>
    <w:rsid w:val="1BE61A8E"/>
    <w:rsid w:val="1BED0CC6"/>
    <w:rsid w:val="1BED2304"/>
    <w:rsid w:val="1BF9122C"/>
    <w:rsid w:val="1BFE4A94"/>
    <w:rsid w:val="1C00442F"/>
    <w:rsid w:val="1C03434F"/>
    <w:rsid w:val="1C093A59"/>
    <w:rsid w:val="1C1E2A01"/>
    <w:rsid w:val="1C2E3309"/>
    <w:rsid w:val="1C314E69"/>
    <w:rsid w:val="1C3C2782"/>
    <w:rsid w:val="1C424981"/>
    <w:rsid w:val="1C42634A"/>
    <w:rsid w:val="1C427076"/>
    <w:rsid w:val="1C485D0F"/>
    <w:rsid w:val="1C4D5BD9"/>
    <w:rsid w:val="1C4F6411"/>
    <w:rsid w:val="1C5E7925"/>
    <w:rsid w:val="1C5F19D6"/>
    <w:rsid w:val="1C674752"/>
    <w:rsid w:val="1C695525"/>
    <w:rsid w:val="1C6D0116"/>
    <w:rsid w:val="1C6D1E4C"/>
    <w:rsid w:val="1C6D1F48"/>
    <w:rsid w:val="1C75415F"/>
    <w:rsid w:val="1C7865F4"/>
    <w:rsid w:val="1C7A05BE"/>
    <w:rsid w:val="1C7B6359"/>
    <w:rsid w:val="1C7C02ED"/>
    <w:rsid w:val="1C7D6E1F"/>
    <w:rsid w:val="1C830013"/>
    <w:rsid w:val="1C896A53"/>
    <w:rsid w:val="1C8B74AE"/>
    <w:rsid w:val="1C8D333F"/>
    <w:rsid w:val="1C8D50AC"/>
    <w:rsid w:val="1C8E406A"/>
    <w:rsid w:val="1C8E5B71"/>
    <w:rsid w:val="1C947952"/>
    <w:rsid w:val="1C99183D"/>
    <w:rsid w:val="1C9D42AD"/>
    <w:rsid w:val="1CA613B3"/>
    <w:rsid w:val="1CA61FDD"/>
    <w:rsid w:val="1CA7512B"/>
    <w:rsid w:val="1CAE2A66"/>
    <w:rsid w:val="1CB11B06"/>
    <w:rsid w:val="1CB11E2B"/>
    <w:rsid w:val="1CBB0921"/>
    <w:rsid w:val="1CBF1617"/>
    <w:rsid w:val="1CC021CA"/>
    <w:rsid w:val="1CC070E5"/>
    <w:rsid w:val="1CC21B1C"/>
    <w:rsid w:val="1CC7132A"/>
    <w:rsid w:val="1CCB26FC"/>
    <w:rsid w:val="1CCE690E"/>
    <w:rsid w:val="1CD64CCD"/>
    <w:rsid w:val="1CD952F7"/>
    <w:rsid w:val="1CE76161"/>
    <w:rsid w:val="1CEA4DA2"/>
    <w:rsid w:val="1CF4153E"/>
    <w:rsid w:val="1CF71C0F"/>
    <w:rsid w:val="1CF979F5"/>
    <w:rsid w:val="1CFC41D0"/>
    <w:rsid w:val="1CFD070F"/>
    <w:rsid w:val="1CFF3325"/>
    <w:rsid w:val="1D047E88"/>
    <w:rsid w:val="1D051F08"/>
    <w:rsid w:val="1D05429F"/>
    <w:rsid w:val="1D063C00"/>
    <w:rsid w:val="1D097B5B"/>
    <w:rsid w:val="1D0D31E0"/>
    <w:rsid w:val="1D0D796C"/>
    <w:rsid w:val="1D100F23"/>
    <w:rsid w:val="1D181B85"/>
    <w:rsid w:val="1D1C57A1"/>
    <w:rsid w:val="1D1E3979"/>
    <w:rsid w:val="1D206F87"/>
    <w:rsid w:val="1D2547F1"/>
    <w:rsid w:val="1D28001A"/>
    <w:rsid w:val="1D284C0D"/>
    <w:rsid w:val="1D2D5631"/>
    <w:rsid w:val="1D2E39BE"/>
    <w:rsid w:val="1D352737"/>
    <w:rsid w:val="1D365E30"/>
    <w:rsid w:val="1D3764AF"/>
    <w:rsid w:val="1D3833BB"/>
    <w:rsid w:val="1D3A7D4E"/>
    <w:rsid w:val="1D3D5D97"/>
    <w:rsid w:val="1D3F5BD5"/>
    <w:rsid w:val="1D44403B"/>
    <w:rsid w:val="1D4567B9"/>
    <w:rsid w:val="1D46626F"/>
    <w:rsid w:val="1D4C3FFE"/>
    <w:rsid w:val="1D554B87"/>
    <w:rsid w:val="1D5675F2"/>
    <w:rsid w:val="1D5C1A72"/>
    <w:rsid w:val="1D5C4168"/>
    <w:rsid w:val="1D5F5A06"/>
    <w:rsid w:val="1D5F6196"/>
    <w:rsid w:val="1D5F77B4"/>
    <w:rsid w:val="1D6132A5"/>
    <w:rsid w:val="1D616245"/>
    <w:rsid w:val="1D677332"/>
    <w:rsid w:val="1D6A5788"/>
    <w:rsid w:val="1D6D0123"/>
    <w:rsid w:val="1D762C64"/>
    <w:rsid w:val="1D7768AC"/>
    <w:rsid w:val="1D7A45EE"/>
    <w:rsid w:val="1D7D118B"/>
    <w:rsid w:val="1D801AF5"/>
    <w:rsid w:val="1D813BCE"/>
    <w:rsid w:val="1D891FDC"/>
    <w:rsid w:val="1D8B67FB"/>
    <w:rsid w:val="1D8E56D5"/>
    <w:rsid w:val="1D950FE4"/>
    <w:rsid w:val="1D9679F2"/>
    <w:rsid w:val="1D976F4E"/>
    <w:rsid w:val="1D982608"/>
    <w:rsid w:val="1D98667B"/>
    <w:rsid w:val="1D9B2FAD"/>
    <w:rsid w:val="1D9F5E03"/>
    <w:rsid w:val="1DA6744A"/>
    <w:rsid w:val="1DB00010"/>
    <w:rsid w:val="1DB33FAD"/>
    <w:rsid w:val="1DB56725"/>
    <w:rsid w:val="1DBA29F0"/>
    <w:rsid w:val="1DC142F4"/>
    <w:rsid w:val="1DC2245F"/>
    <w:rsid w:val="1DC67833"/>
    <w:rsid w:val="1DC870D5"/>
    <w:rsid w:val="1DCD0BC2"/>
    <w:rsid w:val="1DD106B2"/>
    <w:rsid w:val="1DD87A76"/>
    <w:rsid w:val="1DDD721A"/>
    <w:rsid w:val="1DDF33A9"/>
    <w:rsid w:val="1DE40BAC"/>
    <w:rsid w:val="1DE64650"/>
    <w:rsid w:val="1DE71C83"/>
    <w:rsid w:val="1DE877AA"/>
    <w:rsid w:val="1DEA5F7B"/>
    <w:rsid w:val="1DED6D0F"/>
    <w:rsid w:val="1DFA7915"/>
    <w:rsid w:val="1DFC3DAF"/>
    <w:rsid w:val="1DFD3AB5"/>
    <w:rsid w:val="1DFF087C"/>
    <w:rsid w:val="1E0041BB"/>
    <w:rsid w:val="1E116D00"/>
    <w:rsid w:val="1E122A78"/>
    <w:rsid w:val="1E124827"/>
    <w:rsid w:val="1E153CFF"/>
    <w:rsid w:val="1E156D3E"/>
    <w:rsid w:val="1E177085"/>
    <w:rsid w:val="1E177548"/>
    <w:rsid w:val="1E204787"/>
    <w:rsid w:val="1E2301EE"/>
    <w:rsid w:val="1E2307E2"/>
    <w:rsid w:val="1E256308"/>
    <w:rsid w:val="1E2754DF"/>
    <w:rsid w:val="1E2828B5"/>
    <w:rsid w:val="1E360515"/>
    <w:rsid w:val="1E3635C1"/>
    <w:rsid w:val="1E380731"/>
    <w:rsid w:val="1E396257"/>
    <w:rsid w:val="1E3C3539"/>
    <w:rsid w:val="1E3E0829"/>
    <w:rsid w:val="1E422BA2"/>
    <w:rsid w:val="1E4A3FC0"/>
    <w:rsid w:val="1E4D585F"/>
    <w:rsid w:val="1E4E43C7"/>
    <w:rsid w:val="1E526071"/>
    <w:rsid w:val="1E544E3F"/>
    <w:rsid w:val="1E546BED"/>
    <w:rsid w:val="1E5872AA"/>
    <w:rsid w:val="1E62130A"/>
    <w:rsid w:val="1E6A4663"/>
    <w:rsid w:val="1E6D0ADF"/>
    <w:rsid w:val="1E761259"/>
    <w:rsid w:val="1E7A43DA"/>
    <w:rsid w:val="1E7D4396"/>
    <w:rsid w:val="1E827A99"/>
    <w:rsid w:val="1E85149C"/>
    <w:rsid w:val="1E85669C"/>
    <w:rsid w:val="1E8E1D90"/>
    <w:rsid w:val="1E91399D"/>
    <w:rsid w:val="1E94523F"/>
    <w:rsid w:val="1E9A0DED"/>
    <w:rsid w:val="1E9A6CF6"/>
    <w:rsid w:val="1EA05CC2"/>
    <w:rsid w:val="1EA27958"/>
    <w:rsid w:val="1EA449B1"/>
    <w:rsid w:val="1EAC5B8B"/>
    <w:rsid w:val="1EAD2225"/>
    <w:rsid w:val="1EAD4B85"/>
    <w:rsid w:val="1EB37DB8"/>
    <w:rsid w:val="1EB63404"/>
    <w:rsid w:val="1EC93367"/>
    <w:rsid w:val="1ECA43EA"/>
    <w:rsid w:val="1EE118D6"/>
    <w:rsid w:val="1EE76B4A"/>
    <w:rsid w:val="1EE84C59"/>
    <w:rsid w:val="1EEE2A8B"/>
    <w:rsid w:val="1EF04B68"/>
    <w:rsid w:val="1EF34658"/>
    <w:rsid w:val="1EF53F2C"/>
    <w:rsid w:val="1EFA3C38"/>
    <w:rsid w:val="1EFD1033"/>
    <w:rsid w:val="1F0249E5"/>
    <w:rsid w:val="1F0439D9"/>
    <w:rsid w:val="1F070103"/>
    <w:rsid w:val="1F101E33"/>
    <w:rsid w:val="1F106FB8"/>
    <w:rsid w:val="1F121578"/>
    <w:rsid w:val="1F1329CE"/>
    <w:rsid w:val="1F17421C"/>
    <w:rsid w:val="1F2111C5"/>
    <w:rsid w:val="1F233086"/>
    <w:rsid w:val="1F242A63"/>
    <w:rsid w:val="1F282554"/>
    <w:rsid w:val="1F2C5655"/>
    <w:rsid w:val="1F334A54"/>
    <w:rsid w:val="1F34692E"/>
    <w:rsid w:val="1F3639EA"/>
    <w:rsid w:val="1F3709E9"/>
    <w:rsid w:val="1F3A2B07"/>
    <w:rsid w:val="1F3D3B25"/>
    <w:rsid w:val="1F4370C6"/>
    <w:rsid w:val="1F460C2C"/>
    <w:rsid w:val="1F4629DA"/>
    <w:rsid w:val="1F475959"/>
    <w:rsid w:val="1F4A7E9D"/>
    <w:rsid w:val="1F4F0FE5"/>
    <w:rsid w:val="1F50146C"/>
    <w:rsid w:val="1F525822"/>
    <w:rsid w:val="1F5A2C9B"/>
    <w:rsid w:val="1F5D0377"/>
    <w:rsid w:val="1F6115C2"/>
    <w:rsid w:val="1F66307C"/>
    <w:rsid w:val="1F6B65FA"/>
    <w:rsid w:val="1F703EFB"/>
    <w:rsid w:val="1F705CA9"/>
    <w:rsid w:val="1F73424A"/>
    <w:rsid w:val="1F745799"/>
    <w:rsid w:val="1F780F7F"/>
    <w:rsid w:val="1F781C67"/>
    <w:rsid w:val="1F7C289F"/>
    <w:rsid w:val="1F813A12"/>
    <w:rsid w:val="1F843502"/>
    <w:rsid w:val="1F850636"/>
    <w:rsid w:val="1F8A4FBC"/>
    <w:rsid w:val="1F8D23B7"/>
    <w:rsid w:val="1F8F417D"/>
    <w:rsid w:val="1F95570F"/>
    <w:rsid w:val="1F9574BD"/>
    <w:rsid w:val="1F9E1039"/>
    <w:rsid w:val="1FA140B4"/>
    <w:rsid w:val="1FA3607E"/>
    <w:rsid w:val="1FA47700"/>
    <w:rsid w:val="1FA53C7B"/>
    <w:rsid w:val="1FA616CA"/>
    <w:rsid w:val="1FA6651F"/>
    <w:rsid w:val="1FA6791C"/>
    <w:rsid w:val="1FA70785"/>
    <w:rsid w:val="1FBC4A4A"/>
    <w:rsid w:val="1FCB30B3"/>
    <w:rsid w:val="1FCD3604"/>
    <w:rsid w:val="1FCD4999"/>
    <w:rsid w:val="1FD01024"/>
    <w:rsid w:val="1FD04999"/>
    <w:rsid w:val="1FD47FE6"/>
    <w:rsid w:val="1FE16BA6"/>
    <w:rsid w:val="1FE56FE1"/>
    <w:rsid w:val="1FE67D19"/>
    <w:rsid w:val="1FE7539E"/>
    <w:rsid w:val="1FEA15B7"/>
    <w:rsid w:val="1FF74882"/>
    <w:rsid w:val="1FFD4A0A"/>
    <w:rsid w:val="1FFF1224"/>
    <w:rsid w:val="2000702C"/>
    <w:rsid w:val="20036B1D"/>
    <w:rsid w:val="200B7EB1"/>
    <w:rsid w:val="200D2C44"/>
    <w:rsid w:val="200E590D"/>
    <w:rsid w:val="20124FB2"/>
    <w:rsid w:val="201A5DDC"/>
    <w:rsid w:val="201E74B3"/>
    <w:rsid w:val="20291160"/>
    <w:rsid w:val="20303590"/>
    <w:rsid w:val="20343EDF"/>
    <w:rsid w:val="20370574"/>
    <w:rsid w:val="20390732"/>
    <w:rsid w:val="203942EC"/>
    <w:rsid w:val="203D202F"/>
    <w:rsid w:val="20484530"/>
    <w:rsid w:val="20494604"/>
    <w:rsid w:val="2054789A"/>
    <w:rsid w:val="205A309E"/>
    <w:rsid w:val="205D7CC4"/>
    <w:rsid w:val="20614703"/>
    <w:rsid w:val="20671BE0"/>
    <w:rsid w:val="206B2294"/>
    <w:rsid w:val="206D3F96"/>
    <w:rsid w:val="20703EF3"/>
    <w:rsid w:val="2072760A"/>
    <w:rsid w:val="20730DF0"/>
    <w:rsid w:val="207332D3"/>
    <w:rsid w:val="2073362B"/>
    <w:rsid w:val="20745325"/>
    <w:rsid w:val="207A2E7F"/>
    <w:rsid w:val="207E43F5"/>
    <w:rsid w:val="20823EE5"/>
    <w:rsid w:val="20831A0C"/>
    <w:rsid w:val="208A4B48"/>
    <w:rsid w:val="208D3113"/>
    <w:rsid w:val="208E0782"/>
    <w:rsid w:val="20901E9E"/>
    <w:rsid w:val="20915AEF"/>
    <w:rsid w:val="209325A7"/>
    <w:rsid w:val="20963CB8"/>
    <w:rsid w:val="209854B7"/>
    <w:rsid w:val="20987265"/>
    <w:rsid w:val="209D0D1F"/>
    <w:rsid w:val="209D3610"/>
    <w:rsid w:val="209D5157"/>
    <w:rsid w:val="209F6845"/>
    <w:rsid w:val="20A16773"/>
    <w:rsid w:val="20A16A8F"/>
    <w:rsid w:val="20A81A1B"/>
    <w:rsid w:val="20A86578"/>
    <w:rsid w:val="20AB3A92"/>
    <w:rsid w:val="20AC2D10"/>
    <w:rsid w:val="20B07FB6"/>
    <w:rsid w:val="20B14114"/>
    <w:rsid w:val="20B221AC"/>
    <w:rsid w:val="20B56069"/>
    <w:rsid w:val="20B63B8F"/>
    <w:rsid w:val="20B646FB"/>
    <w:rsid w:val="20B83463"/>
    <w:rsid w:val="20C13741"/>
    <w:rsid w:val="20CA51AA"/>
    <w:rsid w:val="20D52267"/>
    <w:rsid w:val="20D57A49"/>
    <w:rsid w:val="20DA2F17"/>
    <w:rsid w:val="20DB24B2"/>
    <w:rsid w:val="20DB35F6"/>
    <w:rsid w:val="20E210F3"/>
    <w:rsid w:val="20E40888"/>
    <w:rsid w:val="20EB1A8B"/>
    <w:rsid w:val="20EB41BF"/>
    <w:rsid w:val="20F070A1"/>
    <w:rsid w:val="20F8207E"/>
    <w:rsid w:val="20FF21DD"/>
    <w:rsid w:val="21025026"/>
    <w:rsid w:val="210B3EDB"/>
    <w:rsid w:val="210C1A01"/>
    <w:rsid w:val="21175AD1"/>
    <w:rsid w:val="21182154"/>
    <w:rsid w:val="211E3A77"/>
    <w:rsid w:val="211F41EA"/>
    <w:rsid w:val="212B632B"/>
    <w:rsid w:val="213043FF"/>
    <w:rsid w:val="21317460"/>
    <w:rsid w:val="21336064"/>
    <w:rsid w:val="213B74B1"/>
    <w:rsid w:val="214178FD"/>
    <w:rsid w:val="21417B95"/>
    <w:rsid w:val="21424702"/>
    <w:rsid w:val="21425423"/>
    <w:rsid w:val="2146601E"/>
    <w:rsid w:val="21507B40"/>
    <w:rsid w:val="21535882"/>
    <w:rsid w:val="21582E98"/>
    <w:rsid w:val="215A2310"/>
    <w:rsid w:val="21676C37"/>
    <w:rsid w:val="21723F5A"/>
    <w:rsid w:val="2172653C"/>
    <w:rsid w:val="217C6B87"/>
    <w:rsid w:val="217E462A"/>
    <w:rsid w:val="217F1ECF"/>
    <w:rsid w:val="21837F15"/>
    <w:rsid w:val="218B08D6"/>
    <w:rsid w:val="218E68BA"/>
    <w:rsid w:val="2191729C"/>
    <w:rsid w:val="219537A4"/>
    <w:rsid w:val="219E6AFD"/>
    <w:rsid w:val="21A03B20"/>
    <w:rsid w:val="21AB49A6"/>
    <w:rsid w:val="21AC014A"/>
    <w:rsid w:val="21B856E5"/>
    <w:rsid w:val="21BA1FF8"/>
    <w:rsid w:val="21BF23CF"/>
    <w:rsid w:val="21D40771"/>
    <w:rsid w:val="21D7200F"/>
    <w:rsid w:val="21DE318A"/>
    <w:rsid w:val="21E07116"/>
    <w:rsid w:val="21E2262C"/>
    <w:rsid w:val="21E27300"/>
    <w:rsid w:val="21EE202E"/>
    <w:rsid w:val="21EF5B80"/>
    <w:rsid w:val="21F50280"/>
    <w:rsid w:val="21F52495"/>
    <w:rsid w:val="21FA383A"/>
    <w:rsid w:val="220003E3"/>
    <w:rsid w:val="22113B54"/>
    <w:rsid w:val="221B014E"/>
    <w:rsid w:val="22270C90"/>
    <w:rsid w:val="222A0391"/>
    <w:rsid w:val="222C39A3"/>
    <w:rsid w:val="222D1C2F"/>
    <w:rsid w:val="22326B0B"/>
    <w:rsid w:val="22347AEB"/>
    <w:rsid w:val="22370D00"/>
    <w:rsid w:val="22475364"/>
    <w:rsid w:val="224A458F"/>
    <w:rsid w:val="224D407F"/>
    <w:rsid w:val="22511DC1"/>
    <w:rsid w:val="225702AF"/>
    <w:rsid w:val="22576990"/>
    <w:rsid w:val="225B6E26"/>
    <w:rsid w:val="225E003A"/>
    <w:rsid w:val="22600256"/>
    <w:rsid w:val="226374F5"/>
    <w:rsid w:val="2268710B"/>
    <w:rsid w:val="226C09A9"/>
    <w:rsid w:val="226D32CF"/>
    <w:rsid w:val="226D682D"/>
    <w:rsid w:val="226F2247"/>
    <w:rsid w:val="22731A8B"/>
    <w:rsid w:val="227E692E"/>
    <w:rsid w:val="22804455"/>
    <w:rsid w:val="22805E36"/>
    <w:rsid w:val="228F6446"/>
    <w:rsid w:val="229323DA"/>
    <w:rsid w:val="2297354C"/>
    <w:rsid w:val="229E0D7F"/>
    <w:rsid w:val="22A079F6"/>
    <w:rsid w:val="22AA14D2"/>
    <w:rsid w:val="22AB1BF2"/>
    <w:rsid w:val="22AE2B47"/>
    <w:rsid w:val="22AF2E1B"/>
    <w:rsid w:val="22B12860"/>
    <w:rsid w:val="22B365D8"/>
    <w:rsid w:val="22B625EA"/>
    <w:rsid w:val="22B81E40"/>
    <w:rsid w:val="22B934C3"/>
    <w:rsid w:val="22C35CC2"/>
    <w:rsid w:val="22C57571"/>
    <w:rsid w:val="22CC769A"/>
    <w:rsid w:val="22CF0F38"/>
    <w:rsid w:val="22D87DED"/>
    <w:rsid w:val="22DC5E4E"/>
    <w:rsid w:val="22DE4A80"/>
    <w:rsid w:val="22E01A36"/>
    <w:rsid w:val="22E33D48"/>
    <w:rsid w:val="22E42C35"/>
    <w:rsid w:val="22E54EF0"/>
    <w:rsid w:val="22E95DA2"/>
    <w:rsid w:val="22F47480"/>
    <w:rsid w:val="22F8223D"/>
    <w:rsid w:val="22FB3ADB"/>
    <w:rsid w:val="22FC3726"/>
    <w:rsid w:val="22FD19DF"/>
    <w:rsid w:val="22FF181D"/>
    <w:rsid w:val="22FF3DB9"/>
    <w:rsid w:val="23014331"/>
    <w:rsid w:val="230D36D5"/>
    <w:rsid w:val="23152DEF"/>
    <w:rsid w:val="231A5A68"/>
    <w:rsid w:val="231D6147"/>
    <w:rsid w:val="23217EE6"/>
    <w:rsid w:val="2322550C"/>
    <w:rsid w:val="23263E4C"/>
    <w:rsid w:val="2338088B"/>
    <w:rsid w:val="233E1ADC"/>
    <w:rsid w:val="2346654E"/>
    <w:rsid w:val="234822FE"/>
    <w:rsid w:val="234B0F30"/>
    <w:rsid w:val="234B6811"/>
    <w:rsid w:val="234C3FD3"/>
    <w:rsid w:val="23515DF1"/>
    <w:rsid w:val="23533536"/>
    <w:rsid w:val="235A31C5"/>
    <w:rsid w:val="235B2553"/>
    <w:rsid w:val="235B50E3"/>
    <w:rsid w:val="235C0A1E"/>
    <w:rsid w:val="235C25E1"/>
    <w:rsid w:val="23607B99"/>
    <w:rsid w:val="23613062"/>
    <w:rsid w:val="23645B24"/>
    <w:rsid w:val="236C420F"/>
    <w:rsid w:val="236E19AF"/>
    <w:rsid w:val="23706277"/>
    <w:rsid w:val="23733C14"/>
    <w:rsid w:val="23735D67"/>
    <w:rsid w:val="23737B15"/>
    <w:rsid w:val="23743AC4"/>
    <w:rsid w:val="23783011"/>
    <w:rsid w:val="2378337E"/>
    <w:rsid w:val="2378385F"/>
    <w:rsid w:val="237905F0"/>
    <w:rsid w:val="237C3061"/>
    <w:rsid w:val="237F64BA"/>
    <w:rsid w:val="23817AA7"/>
    <w:rsid w:val="238735C1"/>
    <w:rsid w:val="23886444"/>
    <w:rsid w:val="23897791"/>
    <w:rsid w:val="238A7CFD"/>
    <w:rsid w:val="238B1303"/>
    <w:rsid w:val="23922691"/>
    <w:rsid w:val="23981042"/>
    <w:rsid w:val="239B0E1A"/>
    <w:rsid w:val="239D1036"/>
    <w:rsid w:val="23A14683"/>
    <w:rsid w:val="23A203FB"/>
    <w:rsid w:val="23A7147A"/>
    <w:rsid w:val="23A979DB"/>
    <w:rsid w:val="23AA169B"/>
    <w:rsid w:val="23AC3027"/>
    <w:rsid w:val="23AD175D"/>
    <w:rsid w:val="23B32608"/>
    <w:rsid w:val="23B5012E"/>
    <w:rsid w:val="23B6403B"/>
    <w:rsid w:val="23B81222"/>
    <w:rsid w:val="23B8412B"/>
    <w:rsid w:val="23C01FE4"/>
    <w:rsid w:val="23C0648B"/>
    <w:rsid w:val="23C10881"/>
    <w:rsid w:val="23C16492"/>
    <w:rsid w:val="23C33C34"/>
    <w:rsid w:val="23C41F79"/>
    <w:rsid w:val="23D20182"/>
    <w:rsid w:val="23D507D0"/>
    <w:rsid w:val="23D5257E"/>
    <w:rsid w:val="23D5432C"/>
    <w:rsid w:val="23D57302"/>
    <w:rsid w:val="23D700A4"/>
    <w:rsid w:val="23DE1C48"/>
    <w:rsid w:val="23E313B8"/>
    <w:rsid w:val="23ED28C5"/>
    <w:rsid w:val="23FF6434"/>
    <w:rsid w:val="2400387F"/>
    <w:rsid w:val="24011190"/>
    <w:rsid w:val="240210CD"/>
    <w:rsid w:val="24026561"/>
    <w:rsid w:val="24082FF7"/>
    <w:rsid w:val="24092228"/>
    <w:rsid w:val="24095321"/>
    <w:rsid w:val="240B4861"/>
    <w:rsid w:val="240C7E90"/>
    <w:rsid w:val="240D7F6A"/>
    <w:rsid w:val="24125580"/>
    <w:rsid w:val="24146435"/>
    <w:rsid w:val="24217571"/>
    <w:rsid w:val="24267432"/>
    <w:rsid w:val="242C77E2"/>
    <w:rsid w:val="242E1C8E"/>
    <w:rsid w:val="24363CA5"/>
    <w:rsid w:val="243B392E"/>
    <w:rsid w:val="243B4AD7"/>
    <w:rsid w:val="243B4F45"/>
    <w:rsid w:val="243C0D71"/>
    <w:rsid w:val="243F7F8D"/>
    <w:rsid w:val="244020ED"/>
    <w:rsid w:val="24430998"/>
    <w:rsid w:val="24480FA2"/>
    <w:rsid w:val="24486E7E"/>
    <w:rsid w:val="244E4263"/>
    <w:rsid w:val="24520819"/>
    <w:rsid w:val="245301AB"/>
    <w:rsid w:val="24532D12"/>
    <w:rsid w:val="24545B99"/>
    <w:rsid w:val="24566581"/>
    <w:rsid w:val="24595D3D"/>
    <w:rsid w:val="245B0CD5"/>
    <w:rsid w:val="245C4A4D"/>
    <w:rsid w:val="24674ACE"/>
    <w:rsid w:val="246F652F"/>
    <w:rsid w:val="247022A7"/>
    <w:rsid w:val="247578BD"/>
    <w:rsid w:val="247C517E"/>
    <w:rsid w:val="24811491"/>
    <w:rsid w:val="248D198E"/>
    <w:rsid w:val="24986A57"/>
    <w:rsid w:val="2498708B"/>
    <w:rsid w:val="249917FE"/>
    <w:rsid w:val="24A7216D"/>
    <w:rsid w:val="24A87C93"/>
    <w:rsid w:val="24AF2919"/>
    <w:rsid w:val="24AF5500"/>
    <w:rsid w:val="24B46637"/>
    <w:rsid w:val="24B623B0"/>
    <w:rsid w:val="24B7198B"/>
    <w:rsid w:val="24BB79C6"/>
    <w:rsid w:val="24BF09F7"/>
    <w:rsid w:val="24C11A24"/>
    <w:rsid w:val="24C44D62"/>
    <w:rsid w:val="24C47AE5"/>
    <w:rsid w:val="24C517A2"/>
    <w:rsid w:val="24C80AF2"/>
    <w:rsid w:val="24CA5E5B"/>
    <w:rsid w:val="24CA7C09"/>
    <w:rsid w:val="24D668D5"/>
    <w:rsid w:val="24D82A4B"/>
    <w:rsid w:val="24D8568D"/>
    <w:rsid w:val="24E205B6"/>
    <w:rsid w:val="24E364DF"/>
    <w:rsid w:val="24E707BB"/>
    <w:rsid w:val="24E91E7F"/>
    <w:rsid w:val="24E94869"/>
    <w:rsid w:val="24EA3D79"/>
    <w:rsid w:val="24EE7D9B"/>
    <w:rsid w:val="24EF70EE"/>
    <w:rsid w:val="24F237C4"/>
    <w:rsid w:val="24F5632A"/>
    <w:rsid w:val="25010BDC"/>
    <w:rsid w:val="25046A0C"/>
    <w:rsid w:val="251610A0"/>
    <w:rsid w:val="251D70D7"/>
    <w:rsid w:val="251F7F55"/>
    <w:rsid w:val="25246F41"/>
    <w:rsid w:val="25267270"/>
    <w:rsid w:val="252A1911"/>
    <w:rsid w:val="252A68FA"/>
    <w:rsid w:val="252D1E19"/>
    <w:rsid w:val="252D53FE"/>
    <w:rsid w:val="252E7FBF"/>
    <w:rsid w:val="25382DC5"/>
    <w:rsid w:val="25396B3D"/>
    <w:rsid w:val="253D1BE4"/>
    <w:rsid w:val="253D5B5E"/>
    <w:rsid w:val="2540611D"/>
    <w:rsid w:val="25492B2E"/>
    <w:rsid w:val="255A0F8D"/>
    <w:rsid w:val="256B13EC"/>
    <w:rsid w:val="257302A1"/>
    <w:rsid w:val="25761B3F"/>
    <w:rsid w:val="257A518B"/>
    <w:rsid w:val="257B7155"/>
    <w:rsid w:val="257D72C5"/>
    <w:rsid w:val="257F09F3"/>
    <w:rsid w:val="258629BC"/>
    <w:rsid w:val="258B55EA"/>
    <w:rsid w:val="2596272F"/>
    <w:rsid w:val="2596532A"/>
    <w:rsid w:val="25965427"/>
    <w:rsid w:val="259A75DB"/>
    <w:rsid w:val="25A01B64"/>
    <w:rsid w:val="25AA086D"/>
    <w:rsid w:val="25AB1D0D"/>
    <w:rsid w:val="25AC5FAB"/>
    <w:rsid w:val="25AD4B37"/>
    <w:rsid w:val="25B14925"/>
    <w:rsid w:val="25B74631"/>
    <w:rsid w:val="25BA0B64"/>
    <w:rsid w:val="25C24D84"/>
    <w:rsid w:val="25C30878"/>
    <w:rsid w:val="25C60ECD"/>
    <w:rsid w:val="25C94365"/>
    <w:rsid w:val="25CB6F61"/>
    <w:rsid w:val="25CE6ADC"/>
    <w:rsid w:val="25D356FB"/>
    <w:rsid w:val="25D52D09"/>
    <w:rsid w:val="25D7192D"/>
    <w:rsid w:val="25D759AB"/>
    <w:rsid w:val="25D968EE"/>
    <w:rsid w:val="25DF5936"/>
    <w:rsid w:val="25E37A76"/>
    <w:rsid w:val="25E77AA9"/>
    <w:rsid w:val="25EC2D81"/>
    <w:rsid w:val="26013AFE"/>
    <w:rsid w:val="26082272"/>
    <w:rsid w:val="26093573"/>
    <w:rsid w:val="260D4251"/>
    <w:rsid w:val="26102229"/>
    <w:rsid w:val="26123B3D"/>
    <w:rsid w:val="2613146E"/>
    <w:rsid w:val="261314BA"/>
    <w:rsid w:val="261849A4"/>
    <w:rsid w:val="26217CFD"/>
    <w:rsid w:val="262275D1"/>
    <w:rsid w:val="26227D3E"/>
    <w:rsid w:val="26282E39"/>
    <w:rsid w:val="262E299C"/>
    <w:rsid w:val="263223B6"/>
    <w:rsid w:val="26326395"/>
    <w:rsid w:val="263A491A"/>
    <w:rsid w:val="263E265D"/>
    <w:rsid w:val="2643302E"/>
    <w:rsid w:val="26447F12"/>
    <w:rsid w:val="264E1BE1"/>
    <w:rsid w:val="265359DC"/>
    <w:rsid w:val="26582567"/>
    <w:rsid w:val="26591B10"/>
    <w:rsid w:val="266507DE"/>
    <w:rsid w:val="26663CB7"/>
    <w:rsid w:val="266B0F78"/>
    <w:rsid w:val="266D2A60"/>
    <w:rsid w:val="266F6CBA"/>
    <w:rsid w:val="26730698"/>
    <w:rsid w:val="26753BA5"/>
    <w:rsid w:val="26760134"/>
    <w:rsid w:val="267847D8"/>
    <w:rsid w:val="267C4F33"/>
    <w:rsid w:val="26827560"/>
    <w:rsid w:val="26865DB2"/>
    <w:rsid w:val="26877938"/>
    <w:rsid w:val="26887D7C"/>
    <w:rsid w:val="268F74E9"/>
    <w:rsid w:val="269404CF"/>
    <w:rsid w:val="26946721"/>
    <w:rsid w:val="269577B3"/>
    <w:rsid w:val="2697301F"/>
    <w:rsid w:val="26997893"/>
    <w:rsid w:val="26A10E3D"/>
    <w:rsid w:val="26A76454"/>
    <w:rsid w:val="26B7531D"/>
    <w:rsid w:val="26B96187"/>
    <w:rsid w:val="26BB38E0"/>
    <w:rsid w:val="26BB59F0"/>
    <w:rsid w:val="26BF6B19"/>
    <w:rsid w:val="26C14CC5"/>
    <w:rsid w:val="26C30DB4"/>
    <w:rsid w:val="26CA3EF0"/>
    <w:rsid w:val="26CD25BE"/>
    <w:rsid w:val="26D04AB1"/>
    <w:rsid w:val="26DA05CF"/>
    <w:rsid w:val="26DC3C24"/>
    <w:rsid w:val="26DD00C8"/>
    <w:rsid w:val="26E02938"/>
    <w:rsid w:val="26E33204"/>
    <w:rsid w:val="26E66850"/>
    <w:rsid w:val="26E82B3C"/>
    <w:rsid w:val="26EF2F1C"/>
    <w:rsid w:val="26F37DC4"/>
    <w:rsid w:val="26F535EB"/>
    <w:rsid w:val="26F62F37"/>
    <w:rsid w:val="26F70A5D"/>
    <w:rsid w:val="26FA22C9"/>
    <w:rsid w:val="26FB7F3F"/>
    <w:rsid w:val="270B1F5B"/>
    <w:rsid w:val="270F2BFA"/>
    <w:rsid w:val="27167136"/>
    <w:rsid w:val="2718121A"/>
    <w:rsid w:val="271B299E"/>
    <w:rsid w:val="27286E69"/>
    <w:rsid w:val="272A309F"/>
    <w:rsid w:val="272A6819"/>
    <w:rsid w:val="272B731D"/>
    <w:rsid w:val="272C6EB9"/>
    <w:rsid w:val="272D447F"/>
    <w:rsid w:val="272E37DE"/>
    <w:rsid w:val="27317FFE"/>
    <w:rsid w:val="27361586"/>
    <w:rsid w:val="273B4BEA"/>
    <w:rsid w:val="27421CD9"/>
    <w:rsid w:val="274B03C6"/>
    <w:rsid w:val="274D77A9"/>
    <w:rsid w:val="2751016E"/>
    <w:rsid w:val="275163C0"/>
    <w:rsid w:val="27522C5C"/>
    <w:rsid w:val="27533EE6"/>
    <w:rsid w:val="27542AA0"/>
    <w:rsid w:val="275525FD"/>
    <w:rsid w:val="275614C6"/>
    <w:rsid w:val="2758696A"/>
    <w:rsid w:val="275A5725"/>
    <w:rsid w:val="275C076A"/>
    <w:rsid w:val="27606603"/>
    <w:rsid w:val="27616827"/>
    <w:rsid w:val="27651606"/>
    <w:rsid w:val="276A6FE4"/>
    <w:rsid w:val="276E0D20"/>
    <w:rsid w:val="276E6F72"/>
    <w:rsid w:val="277057A2"/>
    <w:rsid w:val="27736336"/>
    <w:rsid w:val="27772C2F"/>
    <w:rsid w:val="277E5029"/>
    <w:rsid w:val="27807D89"/>
    <w:rsid w:val="278361FB"/>
    <w:rsid w:val="278636E0"/>
    <w:rsid w:val="278C564A"/>
    <w:rsid w:val="279649D3"/>
    <w:rsid w:val="27984543"/>
    <w:rsid w:val="27A214FC"/>
    <w:rsid w:val="27A86AC1"/>
    <w:rsid w:val="27A9411B"/>
    <w:rsid w:val="27AF30E6"/>
    <w:rsid w:val="27B16E5E"/>
    <w:rsid w:val="27B356CF"/>
    <w:rsid w:val="27B510B5"/>
    <w:rsid w:val="27B73A25"/>
    <w:rsid w:val="27BD1CA7"/>
    <w:rsid w:val="27BD3A55"/>
    <w:rsid w:val="27C546B8"/>
    <w:rsid w:val="27C76682"/>
    <w:rsid w:val="27C94E78"/>
    <w:rsid w:val="27CE5C62"/>
    <w:rsid w:val="27D72057"/>
    <w:rsid w:val="27EB05C2"/>
    <w:rsid w:val="27EC0C1C"/>
    <w:rsid w:val="27F304AC"/>
    <w:rsid w:val="280022F6"/>
    <w:rsid w:val="280653FC"/>
    <w:rsid w:val="28094EEC"/>
    <w:rsid w:val="280D678A"/>
    <w:rsid w:val="28186EDD"/>
    <w:rsid w:val="281A4A03"/>
    <w:rsid w:val="281A74B4"/>
    <w:rsid w:val="281B7A45"/>
    <w:rsid w:val="281D44F4"/>
    <w:rsid w:val="281D702A"/>
    <w:rsid w:val="281F201A"/>
    <w:rsid w:val="28233405"/>
    <w:rsid w:val="282910EA"/>
    <w:rsid w:val="282D0BDB"/>
    <w:rsid w:val="282D316D"/>
    <w:rsid w:val="28305FD5"/>
    <w:rsid w:val="28337E39"/>
    <w:rsid w:val="283D5F0F"/>
    <w:rsid w:val="2852419D"/>
    <w:rsid w:val="28550A91"/>
    <w:rsid w:val="28571E8D"/>
    <w:rsid w:val="285C19A4"/>
    <w:rsid w:val="285C501C"/>
    <w:rsid w:val="285E0D94"/>
    <w:rsid w:val="285F4B0C"/>
    <w:rsid w:val="28604493"/>
    <w:rsid w:val="286363AA"/>
    <w:rsid w:val="28681C13"/>
    <w:rsid w:val="286B1703"/>
    <w:rsid w:val="287175CA"/>
    <w:rsid w:val="287265EE"/>
    <w:rsid w:val="287D7103"/>
    <w:rsid w:val="28824C0D"/>
    <w:rsid w:val="288307FB"/>
    <w:rsid w:val="288832D9"/>
    <w:rsid w:val="28893937"/>
    <w:rsid w:val="28A3777E"/>
    <w:rsid w:val="28A434F5"/>
    <w:rsid w:val="28A637CC"/>
    <w:rsid w:val="28AB1AFF"/>
    <w:rsid w:val="28B77414"/>
    <w:rsid w:val="28BB69F6"/>
    <w:rsid w:val="28BE7E3F"/>
    <w:rsid w:val="28C055AB"/>
    <w:rsid w:val="28C94133"/>
    <w:rsid w:val="28CA4870"/>
    <w:rsid w:val="28CF57EE"/>
    <w:rsid w:val="28D177B8"/>
    <w:rsid w:val="28D63020"/>
    <w:rsid w:val="28D728F5"/>
    <w:rsid w:val="28D9041B"/>
    <w:rsid w:val="28DB23E5"/>
    <w:rsid w:val="28E374EB"/>
    <w:rsid w:val="28EC2844"/>
    <w:rsid w:val="28EF2E65"/>
    <w:rsid w:val="290046D9"/>
    <w:rsid w:val="29015BC3"/>
    <w:rsid w:val="29042546"/>
    <w:rsid w:val="29047F28"/>
    <w:rsid w:val="290513C9"/>
    <w:rsid w:val="290F0EC2"/>
    <w:rsid w:val="29114058"/>
    <w:rsid w:val="29121B7F"/>
    <w:rsid w:val="29136DCD"/>
    <w:rsid w:val="29164665"/>
    <w:rsid w:val="2919115F"/>
    <w:rsid w:val="291B4ED7"/>
    <w:rsid w:val="29206EB8"/>
    <w:rsid w:val="29221A6C"/>
    <w:rsid w:val="2923730F"/>
    <w:rsid w:val="29257BD4"/>
    <w:rsid w:val="29296828"/>
    <w:rsid w:val="292B79F8"/>
    <w:rsid w:val="292F44DF"/>
    <w:rsid w:val="293164A9"/>
    <w:rsid w:val="2939535D"/>
    <w:rsid w:val="293A798A"/>
    <w:rsid w:val="2945374D"/>
    <w:rsid w:val="294A1318"/>
    <w:rsid w:val="294A756A"/>
    <w:rsid w:val="294C32E2"/>
    <w:rsid w:val="294E780E"/>
    <w:rsid w:val="29502A3A"/>
    <w:rsid w:val="295108F9"/>
    <w:rsid w:val="29514455"/>
    <w:rsid w:val="2953641F"/>
    <w:rsid w:val="2956536C"/>
    <w:rsid w:val="29565F0F"/>
    <w:rsid w:val="29595666"/>
    <w:rsid w:val="295E6DEB"/>
    <w:rsid w:val="29622B06"/>
    <w:rsid w:val="296A3769"/>
    <w:rsid w:val="297024DF"/>
    <w:rsid w:val="29736AC1"/>
    <w:rsid w:val="29742B45"/>
    <w:rsid w:val="29757311"/>
    <w:rsid w:val="29794A76"/>
    <w:rsid w:val="297D16EE"/>
    <w:rsid w:val="29804D3A"/>
    <w:rsid w:val="29874881"/>
    <w:rsid w:val="29915199"/>
    <w:rsid w:val="29917E27"/>
    <w:rsid w:val="29923DEA"/>
    <w:rsid w:val="299627B0"/>
    <w:rsid w:val="299D3B3E"/>
    <w:rsid w:val="29A87415"/>
    <w:rsid w:val="29AB1266"/>
    <w:rsid w:val="29B03871"/>
    <w:rsid w:val="29B12F1C"/>
    <w:rsid w:val="29B80978"/>
    <w:rsid w:val="29B918AC"/>
    <w:rsid w:val="29C105C6"/>
    <w:rsid w:val="29C22A0D"/>
    <w:rsid w:val="29C46456"/>
    <w:rsid w:val="29C521CE"/>
    <w:rsid w:val="29C93D20"/>
    <w:rsid w:val="29CB4156"/>
    <w:rsid w:val="29CD32AB"/>
    <w:rsid w:val="29CE019B"/>
    <w:rsid w:val="29CE23EA"/>
    <w:rsid w:val="29D07A70"/>
    <w:rsid w:val="29D31F18"/>
    <w:rsid w:val="29D349EF"/>
    <w:rsid w:val="29D62BAC"/>
    <w:rsid w:val="29D87103"/>
    <w:rsid w:val="29E26DED"/>
    <w:rsid w:val="29E325E0"/>
    <w:rsid w:val="29E47F3B"/>
    <w:rsid w:val="29E6065D"/>
    <w:rsid w:val="29E7300B"/>
    <w:rsid w:val="29EB48A9"/>
    <w:rsid w:val="29EC0622"/>
    <w:rsid w:val="29F15C38"/>
    <w:rsid w:val="29F80F84"/>
    <w:rsid w:val="29F85218"/>
    <w:rsid w:val="29FE7A63"/>
    <w:rsid w:val="29FF388D"/>
    <w:rsid w:val="2A002484"/>
    <w:rsid w:val="2A0B4F4C"/>
    <w:rsid w:val="2A0D0CC4"/>
    <w:rsid w:val="2A0E774B"/>
    <w:rsid w:val="2A104310"/>
    <w:rsid w:val="2A1060BE"/>
    <w:rsid w:val="2A1D4E1F"/>
    <w:rsid w:val="2A253A0C"/>
    <w:rsid w:val="2A261D85"/>
    <w:rsid w:val="2A2815AA"/>
    <w:rsid w:val="2A2C0A1E"/>
    <w:rsid w:val="2A2E29E8"/>
    <w:rsid w:val="2A2E4796"/>
    <w:rsid w:val="2A30150D"/>
    <w:rsid w:val="2A31612A"/>
    <w:rsid w:val="2A335FF2"/>
    <w:rsid w:val="2A3A75DF"/>
    <w:rsid w:val="2A3C3357"/>
    <w:rsid w:val="2A3E4FA9"/>
    <w:rsid w:val="2A452503"/>
    <w:rsid w:val="2A465D9B"/>
    <w:rsid w:val="2A506E02"/>
    <w:rsid w:val="2A5559CD"/>
    <w:rsid w:val="2A581813"/>
    <w:rsid w:val="2A601818"/>
    <w:rsid w:val="2A631F4D"/>
    <w:rsid w:val="2A6603D4"/>
    <w:rsid w:val="2A67567F"/>
    <w:rsid w:val="2A6C506A"/>
    <w:rsid w:val="2A741417"/>
    <w:rsid w:val="2A81520E"/>
    <w:rsid w:val="2A827289"/>
    <w:rsid w:val="2A844C3B"/>
    <w:rsid w:val="2A850E81"/>
    <w:rsid w:val="2A856E92"/>
    <w:rsid w:val="2A863BFE"/>
    <w:rsid w:val="2A87035E"/>
    <w:rsid w:val="2A88659C"/>
    <w:rsid w:val="2A8C4388"/>
    <w:rsid w:val="2A8D3382"/>
    <w:rsid w:val="2A8D5961"/>
    <w:rsid w:val="2A910BF0"/>
    <w:rsid w:val="2A932E5D"/>
    <w:rsid w:val="2A97233B"/>
    <w:rsid w:val="2A9A4646"/>
    <w:rsid w:val="2A9A6739"/>
    <w:rsid w:val="2A9B5B9E"/>
    <w:rsid w:val="2A9C2D39"/>
    <w:rsid w:val="2A9E191C"/>
    <w:rsid w:val="2AA35184"/>
    <w:rsid w:val="2AAB4039"/>
    <w:rsid w:val="2AAF1D7B"/>
    <w:rsid w:val="2AAF63FE"/>
    <w:rsid w:val="2AB253C7"/>
    <w:rsid w:val="2AB4113F"/>
    <w:rsid w:val="2AB50D09"/>
    <w:rsid w:val="2AB56C65"/>
    <w:rsid w:val="2ABA41F8"/>
    <w:rsid w:val="2ABC1DA2"/>
    <w:rsid w:val="2AC15035"/>
    <w:rsid w:val="2AC6629F"/>
    <w:rsid w:val="2ACB6489"/>
    <w:rsid w:val="2ACD0453"/>
    <w:rsid w:val="2AD01929"/>
    <w:rsid w:val="2AD16555"/>
    <w:rsid w:val="2AD25A69"/>
    <w:rsid w:val="2AD45A27"/>
    <w:rsid w:val="2AD6373E"/>
    <w:rsid w:val="2ADD283E"/>
    <w:rsid w:val="2ADE440E"/>
    <w:rsid w:val="2ADE5E1B"/>
    <w:rsid w:val="2AE07716"/>
    <w:rsid w:val="2AE2255D"/>
    <w:rsid w:val="2AE82B97"/>
    <w:rsid w:val="2AEF3F25"/>
    <w:rsid w:val="2AF541FB"/>
    <w:rsid w:val="2AFA0A52"/>
    <w:rsid w:val="2B0654FC"/>
    <w:rsid w:val="2B073965"/>
    <w:rsid w:val="2B204A27"/>
    <w:rsid w:val="2B366200"/>
    <w:rsid w:val="2B466337"/>
    <w:rsid w:val="2B4C0426"/>
    <w:rsid w:val="2B4D4A0F"/>
    <w:rsid w:val="2B537AF6"/>
    <w:rsid w:val="2B576E9F"/>
    <w:rsid w:val="2B5B5A5F"/>
    <w:rsid w:val="2B6264D8"/>
    <w:rsid w:val="2B65243A"/>
    <w:rsid w:val="2B6B0A40"/>
    <w:rsid w:val="2B7078A9"/>
    <w:rsid w:val="2B7268BB"/>
    <w:rsid w:val="2B7448CD"/>
    <w:rsid w:val="2B773770"/>
    <w:rsid w:val="2B7E52A9"/>
    <w:rsid w:val="2B870602"/>
    <w:rsid w:val="2B8C79C6"/>
    <w:rsid w:val="2B911481"/>
    <w:rsid w:val="2B9224E6"/>
    <w:rsid w:val="2B9351F9"/>
    <w:rsid w:val="2B950382"/>
    <w:rsid w:val="2B97636B"/>
    <w:rsid w:val="2B9E14E1"/>
    <w:rsid w:val="2BA142BD"/>
    <w:rsid w:val="2BA369D6"/>
    <w:rsid w:val="2BA936A8"/>
    <w:rsid w:val="2BB235C5"/>
    <w:rsid w:val="2BBE4084"/>
    <w:rsid w:val="2BC12D1D"/>
    <w:rsid w:val="2BC23ED2"/>
    <w:rsid w:val="2BC44ED9"/>
    <w:rsid w:val="2BC730F4"/>
    <w:rsid w:val="2BC77E1B"/>
    <w:rsid w:val="2BCD43E6"/>
    <w:rsid w:val="2BD20B7A"/>
    <w:rsid w:val="2BDB446C"/>
    <w:rsid w:val="2BDE6C68"/>
    <w:rsid w:val="2BEA0B91"/>
    <w:rsid w:val="2BEB3F29"/>
    <w:rsid w:val="2BF12D6F"/>
    <w:rsid w:val="2BF35C97"/>
    <w:rsid w:val="2BF7620E"/>
    <w:rsid w:val="2BF7758D"/>
    <w:rsid w:val="2BF91A63"/>
    <w:rsid w:val="2BFE5BDA"/>
    <w:rsid w:val="2BFF2F3A"/>
    <w:rsid w:val="2C061188"/>
    <w:rsid w:val="2C091BC0"/>
    <w:rsid w:val="2C0A72E6"/>
    <w:rsid w:val="2C112457"/>
    <w:rsid w:val="2C12290F"/>
    <w:rsid w:val="2C130423"/>
    <w:rsid w:val="2C1520B2"/>
    <w:rsid w:val="2C1A10A1"/>
    <w:rsid w:val="2C1D0D8C"/>
    <w:rsid w:val="2C245E51"/>
    <w:rsid w:val="2C29790B"/>
    <w:rsid w:val="2C2C11A9"/>
    <w:rsid w:val="2C315A5A"/>
    <w:rsid w:val="2C317985"/>
    <w:rsid w:val="2C365B84"/>
    <w:rsid w:val="2C3A1413"/>
    <w:rsid w:val="2C3D33B6"/>
    <w:rsid w:val="2C405C80"/>
    <w:rsid w:val="2C455129"/>
    <w:rsid w:val="2C485376"/>
    <w:rsid w:val="2C4B162F"/>
    <w:rsid w:val="2C4B1C25"/>
    <w:rsid w:val="2C4C35F9"/>
    <w:rsid w:val="2C525235"/>
    <w:rsid w:val="2C5A1872"/>
    <w:rsid w:val="2C5B6D26"/>
    <w:rsid w:val="2C5D2873"/>
    <w:rsid w:val="2C605937"/>
    <w:rsid w:val="2C6438F8"/>
    <w:rsid w:val="2C6E531E"/>
    <w:rsid w:val="2C78619D"/>
    <w:rsid w:val="2C7C281F"/>
    <w:rsid w:val="2C802F29"/>
    <w:rsid w:val="2C8608B9"/>
    <w:rsid w:val="2C8842E6"/>
    <w:rsid w:val="2C892158"/>
    <w:rsid w:val="2CA248AA"/>
    <w:rsid w:val="2CA3160E"/>
    <w:rsid w:val="2CA43AE2"/>
    <w:rsid w:val="2CAA7000"/>
    <w:rsid w:val="2CB01DDA"/>
    <w:rsid w:val="2CB1338F"/>
    <w:rsid w:val="2CB847EB"/>
    <w:rsid w:val="2CBC385D"/>
    <w:rsid w:val="2CC47634"/>
    <w:rsid w:val="2CC60DAB"/>
    <w:rsid w:val="2CC6515A"/>
    <w:rsid w:val="2CCC4492"/>
    <w:rsid w:val="2CCD0296"/>
    <w:rsid w:val="2CCF04B2"/>
    <w:rsid w:val="2CD258AD"/>
    <w:rsid w:val="2CE22AC8"/>
    <w:rsid w:val="2CE31969"/>
    <w:rsid w:val="2CE43832"/>
    <w:rsid w:val="2CE675AA"/>
    <w:rsid w:val="2CEA554F"/>
    <w:rsid w:val="2CF25F4F"/>
    <w:rsid w:val="2CF73565"/>
    <w:rsid w:val="2CF9108B"/>
    <w:rsid w:val="2CF972DD"/>
    <w:rsid w:val="2CFA4E04"/>
    <w:rsid w:val="2D0363AE"/>
    <w:rsid w:val="2D086FCF"/>
    <w:rsid w:val="2D093909"/>
    <w:rsid w:val="2D104A12"/>
    <w:rsid w:val="2D17601C"/>
    <w:rsid w:val="2D1858BD"/>
    <w:rsid w:val="2D1F486A"/>
    <w:rsid w:val="2D236108"/>
    <w:rsid w:val="2D2500D2"/>
    <w:rsid w:val="2D2562E3"/>
    <w:rsid w:val="2D256324"/>
    <w:rsid w:val="2D26209C"/>
    <w:rsid w:val="2D294FE0"/>
    <w:rsid w:val="2D2A56E9"/>
    <w:rsid w:val="2D2D6F87"/>
    <w:rsid w:val="2D306A77"/>
    <w:rsid w:val="2D38326E"/>
    <w:rsid w:val="2D39592C"/>
    <w:rsid w:val="2D3E5F3A"/>
    <w:rsid w:val="2D401235"/>
    <w:rsid w:val="2D420860"/>
    <w:rsid w:val="2D452523"/>
    <w:rsid w:val="2D456FA0"/>
    <w:rsid w:val="2D542766"/>
    <w:rsid w:val="2D564730"/>
    <w:rsid w:val="2D58628E"/>
    <w:rsid w:val="2D594220"/>
    <w:rsid w:val="2D595FCE"/>
    <w:rsid w:val="2D5C786C"/>
    <w:rsid w:val="2D621327"/>
    <w:rsid w:val="2D63566A"/>
    <w:rsid w:val="2D643359"/>
    <w:rsid w:val="2D655909"/>
    <w:rsid w:val="2D67693D"/>
    <w:rsid w:val="2D6A3D37"/>
    <w:rsid w:val="2D7E5A35"/>
    <w:rsid w:val="2D833D2F"/>
    <w:rsid w:val="2D861AAD"/>
    <w:rsid w:val="2D865769"/>
    <w:rsid w:val="2D872B3B"/>
    <w:rsid w:val="2D9278AF"/>
    <w:rsid w:val="2D9A0C12"/>
    <w:rsid w:val="2D9C5EBB"/>
    <w:rsid w:val="2D9D410D"/>
    <w:rsid w:val="2D9E56F5"/>
    <w:rsid w:val="2DA520D2"/>
    <w:rsid w:val="2DA6658F"/>
    <w:rsid w:val="2DA82AB1"/>
    <w:rsid w:val="2DA87E31"/>
    <w:rsid w:val="2DAC25A2"/>
    <w:rsid w:val="2DAD51FD"/>
    <w:rsid w:val="2DB15421"/>
    <w:rsid w:val="2DB33930"/>
    <w:rsid w:val="2DB664B0"/>
    <w:rsid w:val="2DB94CBF"/>
    <w:rsid w:val="2DBA5111"/>
    <w:rsid w:val="2DCD2CE5"/>
    <w:rsid w:val="2DD02CED"/>
    <w:rsid w:val="2DD1025A"/>
    <w:rsid w:val="2DD24DC5"/>
    <w:rsid w:val="2DD45655"/>
    <w:rsid w:val="2DDE509E"/>
    <w:rsid w:val="2DE33E2B"/>
    <w:rsid w:val="2DE818AD"/>
    <w:rsid w:val="2DF61A6F"/>
    <w:rsid w:val="2DF6381D"/>
    <w:rsid w:val="2DF84AE8"/>
    <w:rsid w:val="2DFB0E33"/>
    <w:rsid w:val="2DFD4BAB"/>
    <w:rsid w:val="2DFD774B"/>
    <w:rsid w:val="2E051ABB"/>
    <w:rsid w:val="2E0A3A43"/>
    <w:rsid w:val="2E0A3CE7"/>
    <w:rsid w:val="2E112405"/>
    <w:rsid w:val="2E114A1E"/>
    <w:rsid w:val="2E1B14D5"/>
    <w:rsid w:val="2E1B5108"/>
    <w:rsid w:val="2E233A93"/>
    <w:rsid w:val="2E262354"/>
    <w:rsid w:val="2E291E44"/>
    <w:rsid w:val="2E2E1209"/>
    <w:rsid w:val="2E31104A"/>
    <w:rsid w:val="2E314855"/>
    <w:rsid w:val="2E426A62"/>
    <w:rsid w:val="2E530C6F"/>
    <w:rsid w:val="2E536EC1"/>
    <w:rsid w:val="2E56075F"/>
    <w:rsid w:val="2E586286"/>
    <w:rsid w:val="2E5A1FFE"/>
    <w:rsid w:val="2E60446C"/>
    <w:rsid w:val="2E60513A"/>
    <w:rsid w:val="2E610457"/>
    <w:rsid w:val="2E6366F0"/>
    <w:rsid w:val="2E644C2A"/>
    <w:rsid w:val="2E647AEF"/>
    <w:rsid w:val="2E6532B3"/>
    <w:rsid w:val="2E667F96"/>
    <w:rsid w:val="2E67471B"/>
    <w:rsid w:val="2E680C5E"/>
    <w:rsid w:val="2E6D22B7"/>
    <w:rsid w:val="2E7035CF"/>
    <w:rsid w:val="2E745206"/>
    <w:rsid w:val="2E750BE6"/>
    <w:rsid w:val="2E786928"/>
    <w:rsid w:val="2E7C6418"/>
    <w:rsid w:val="2E7D7A9A"/>
    <w:rsid w:val="2E7E51F5"/>
    <w:rsid w:val="2E80417F"/>
    <w:rsid w:val="2E820118"/>
    <w:rsid w:val="2E8226AB"/>
    <w:rsid w:val="2E836087"/>
    <w:rsid w:val="2E861045"/>
    <w:rsid w:val="2E8B665B"/>
    <w:rsid w:val="2E8E7EF9"/>
    <w:rsid w:val="2E90205C"/>
    <w:rsid w:val="2E917BF3"/>
    <w:rsid w:val="2E953036"/>
    <w:rsid w:val="2E9574DA"/>
    <w:rsid w:val="2E96604C"/>
    <w:rsid w:val="2E980B77"/>
    <w:rsid w:val="2E9901E9"/>
    <w:rsid w:val="2E9A064C"/>
    <w:rsid w:val="2E9A57EF"/>
    <w:rsid w:val="2EA43279"/>
    <w:rsid w:val="2EA73092"/>
    <w:rsid w:val="2EAD4823"/>
    <w:rsid w:val="2EAE40F8"/>
    <w:rsid w:val="2EB85B97"/>
    <w:rsid w:val="2EB87165"/>
    <w:rsid w:val="2EBD06E1"/>
    <w:rsid w:val="2EBF6447"/>
    <w:rsid w:val="2EC03892"/>
    <w:rsid w:val="2EC83D8A"/>
    <w:rsid w:val="2ECA0C2A"/>
    <w:rsid w:val="2ED11B16"/>
    <w:rsid w:val="2ED40002"/>
    <w:rsid w:val="2ED51684"/>
    <w:rsid w:val="2ED56A51"/>
    <w:rsid w:val="2EDA4EED"/>
    <w:rsid w:val="2EDE2C2F"/>
    <w:rsid w:val="2EDF2503"/>
    <w:rsid w:val="2EE6563F"/>
    <w:rsid w:val="2EE95130"/>
    <w:rsid w:val="2EEA15D4"/>
    <w:rsid w:val="2EEB70FA"/>
    <w:rsid w:val="2EEC1F8C"/>
    <w:rsid w:val="2EEF6719"/>
    <w:rsid w:val="2EFE2813"/>
    <w:rsid w:val="2F000DF7"/>
    <w:rsid w:val="2F0202D0"/>
    <w:rsid w:val="2F032695"/>
    <w:rsid w:val="2F04224B"/>
    <w:rsid w:val="2F061558"/>
    <w:rsid w:val="2F067A90"/>
    <w:rsid w:val="2F0C6C3F"/>
    <w:rsid w:val="2F0F4AC5"/>
    <w:rsid w:val="2F171C9D"/>
    <w:rsid w:val="2F194847"/>
    <w:rsid w:val="2F1A79DF"/>
    <w:rsid w:val="2F1C0205"/>
    <w:rsid w:val="2F1E302B"/>
    <w:rsid w:val="2F25085E"/>
    <w:rsid w:val="2F28027F"/>
    <w:rsid w:val="2F2A269A"/>
    <w:rsid w:val="2F320885"/>
    <w:rsid w:val="2F337E9A"/>
    <w:rsid w:val="2F36092E"/>
    <w:rsid w:val="2F382227"/>
    <w:rsid w:val="2F391C13"/>
    <w:rsid w:val="2F397E65"/>
    <w:rsid w:val="2F3A11F4"/>
    <w:rsid w:val="2F3A599D"/>
    <w:rsid w:val="2F3C2DCA"/>
    <w:rsid w:val="2F3C4CFF"/>
    <w:rsid w:val="2F47799C"/>
    <w:rsid w:val="2F4A0F8A"/>
    <w:rsid w:val="2F4F47F1"/>
    <w:rsid w:val="2F511653"/>
    <w:rsid w:val="2F511CE2"/>
    <w:rsid w:val="2F544F90"/>
    <w:rsid w:val="2F566C69"/>
    <w:rsid w:val="2F5D7AE5"/>
    <w:rsid w:val="2F5E5B1E"/>
    <w:rsid w:val="2F6537AA"/>
    <w:rsid w:val="2F6649D2"/>
    <w:rsid w:val="2F6B2BC5"/>
    <w:rsid w:val="2F6F5944"/>
    <w:rsid w:val="2F725125"/>
    <w:rsid w:val="2F7366F2"/>
    <w:rsid w:val="2F7A2E90"/>
    <w:rsid w:val="2F7E7A40"/>
    <w:rsid w:val="2F803CE6"/>
    <w:rsid w:val="2F8512FC"/>
    <w:rsid w:val="2F85678C"/>
    <w:rsid w:val="2F8C2318"/>
    <w:rsid w:val="2F9128C7"/>
    <w:rsid w:val="2F92342A"/>
    <w:rsid w:val="2F971030"/>
    <w:rsid w:val="2F994DA8"/>
    <w:rsid w:val="2F996B56"/>
    <w:rsid w:val="2FA13217"/>
    <w:rsid w:val="2FA73070"/>
    <w:rsid w:val="2FAA0D63"/>
    <w:rsid w:val="2FAD0853"/>
    <w:rsid w:val="2FB04682"/>
    <w:rsid w:val="2FB335EE"/>
    <w:rsid w:val="2FB94EF1"/>
    <w:rsid w:val="2FBC108B"/>
    <w:rsid w:val="2FBC6918"/>
    <w:rsid w:val="2FBE65BC"/>
    <w:rsid w:val="2FC5794B"/>
    <w:rsid w:val="2FC86E69"/>
    <w:rsid w:val="2FC8743B"/>
    <w:rsid w:val="2FC91A7F"/>
    <w:rsid w:val="2FCA6D0F"/>
    <w:rsid w:val="2FCB35A6"/>
    <w:rsid w:val="2FD065E6"/>
    <w:rsid w:val="2FD527AF"/>
    <w:rsid w:val="2FD54D75"/>
    <w:rsid w:val="2FD874C4"/>
    <w:rsid w:val="2FD96870"/>
    <w:rsid w:val="2FDC75EF"/>
    <w:rsid w:val="2FDE6C5E"/>
    <w:rsid w:val="2FE14059"/>
    <w:rsid w:val="2FE54091"/>
    <w:rsid w:val="30032221"/>
    <w:rsid w:val="30077F63"/>
    <w:rsid w:val="300C557A"/>
    <w:rsid w:val="300F0BC6"/>
    <w:rsid w:val="30164FFE"/>
    <w:rsid w:val="30186282"/>
    <w:rsid w:val="301A631A"/>
    <w:rsid w:val="30283608"/>
    <w:rsid w:val="3034062C"/>
    <w:rsid w:val="30354AD0"/>
    <w:rsid w:val="30375D1B"/>
    <w:rsid w:val="303A61C9"/>
    <w:rsid w:val="303D6AE0"/>
    <w:rsid w:val="3040114F"/>
    <w:rsid w:val="30406FD1"/>
    <w:rsid w:val="30426A49"/>
    <w:rsid w:val="30484D87"/>
    <w:rsid w:val="304A7E50"/>
    <w:rsid w:val="304D31C6"/>
    <w:rsid w:val="30580BC9"/>
    <w:rsid w:val="305875FE"/>
    <w:rsid w:val="305D13F9"/>
    <w:rsid w:val="305E1E35"/>
    <w:rsid w:val="30615B63"/>
    <w:rsid w:val="30647B39"/>
    <w:rsid w:val="306929CC"/>
    <w:rsid w:val="306D53A7"/>
    <w:rsid w:val="306E2477"/>
    <w:rsid w:val="3071362F"/>
    <w:rsid w:val="307355F9"/>
    <w:rsid w:val="30803A61"/>
    <w:rsid w:val="30826799"/>
    <w:rsid w:val="30874C00"/>
    <w:rsid w:val="308A649E"/>
    <w:rsid w:val="30904C5E"/>
    <w:rsid w:val="30915A7F"/>
    <w:rsid w:val="309C2C3C"/>
    <w:rsid w:val="30A00555"/>
    <w:rsid w:val="30A6152A"/>
    <w:rsid w:val="30B04157"/>
    <w:rsid w:val="30B34476"/>
    <w:rsid w:val="30B518F6"/>
    <w:rsid w:val="30B71989"/>
    <w:rsid w:val="30B815DF"/>
    <w:rsid w:val="30BA4FD6"/>
    <w:rsid w:val="30BB30B9"/>
    <w:rsid w:val="30BB502D"/>
    <w:rsid w:val="30C11E6E"/>
    <w:rsid w:val="30C96FC7"/>
    <w:rsid w:val="30CB0F91"/>
    <w:rsid w:val="30CC4D09"/>
    <w:rsid w:val="30CD4304"/>
    <w:rsid w:val="30D552BC"/>
    <w:rsid w:val="30DF4A3C"/>
    <w:rsid w:val="30E16DD9"/>
    <w:rsid w:val="30EC0F07"/>
    <w:rsid w:val="30ED24C4"/>
    <w:rsid w:val="30EE1123"/>
    <w:rsid w:val="30EE49AB"/>
    <w:rsid w:val="30EF04D7"/>
    <w:rsid w:val="30F074D3"/>
    <w:rsid w:val="30F46739"/>
    <w:rsid w:val="3100354C"/>
    <w:rsid w:val="31022BDC"/>
    <w:rsid w:val="310F3B05"/>
    <w:rsid w:val="31130176"/>
    <w:rsid w:val="3115220C"/>
    <w:rsid w:val="311961A0"/>
    <w:rsid w:val="311A5A74"/>
    <w:rsid w:val="311C17EC"/>
    <w:rsid w:val="311C64B1"/>
    <w:rsid w:val="311E2ED7"/>
    <w:rsid w:val="3120277A"/>
    <w:rsid w:val="312215F8"/>
    <w:rsid w:val="3125515C"/>
    <w:rsid w:val="31356105"/>
    <w:rsid w:val="313C59EB"/>
    <w:rsid w:val="31417683"/>
    <w:rsid w:val="3143321D"/>
    <w:rsid w:val="31477BE9"/>
    <w:rsid w:val="314A1958"/>
    <w:rsid w:val="314F1BC2"/>
    <w:rsid w:val="31501496"/>
    <w:rsid w:val="315354AC"/>
    <w:rsid w:val="315619EE"/>
    <w:rsid w:val="31572766"/>
    <w:rsid w:val="31572824"/>
    <w:rsid w:val="315C449C"/>
    <w:rsid w:val="3161139B"/>
    <w:rsid w:val="316118F5"/>
    <w:rsid w:val="31646916"/>
    <w:rsid w:val="31673068"/>
    <w:rsid w:val="31692558"/>
    <w:rsid w:val="316A07AA"/>
    <w:rsid w:val="316B2774"/>
    <w:rsid w:val="317258B0"/>
    <w:rsid w:val="31780D1B"/>
    <w:rsid w:val="31833FF5"/>
    <w:rsid w:val="31866308"/>
    <w:rsid w:val="318B45AC"/>
    <w:rsid w:val="318D26EA"/>
    <w:rsid w:val="319770C5"/>
    <w:rsid w:val="31994BEB"/>
    <w:rsid w:val="31A517E2"/>
    <w:rsid w:val="31A812D2"/>
    <w:rsid w:val="31AA329C"/>
    <w:rsid w:val="31AB4680"/>
    <w:rsid w:val="31AB5635"/>
    <w:rsid w:val="31B767A8"/>
    <w:rsid w:val="31B82709"/>
    <w:rsid w:val="31BA1C29"/>
    <w:rsid w:val="31BD4DF8"/>
    <w:rsid w:val="31BD63F5"/>
    <w:rsid w:val="31BE28A4"/>
    <w:rsid w:val="31BF147C"/>
    <w:rsid w:val="31C816DA"/>
    <w:rsid w:val="31CA6E32"/>
    <w:rsid w:val="31CC5B06"/>
    <w:rsid w:val="31CD0D39"/>
    <w:rsid w:val="31CD1BEC"/>
    <w:rsid w:val="31CE4696"/>
    <w:rsid w:val="31CF2D03"/>
    <w:rsid w:val="31D05482"/>
    <w:rsid w:val="31D7474D"/>
    <w:rsid w:val="31E0281A"/>
    <w:rsid w:val="31E367AE"/>
    <w:rsid w:val="31E63BA8"/>
    <w:rsid w:val="31E87920"/>
    <w:rsid w:val="31ED53DD"/>
    <w:rsid w:val="31EE33CC"/>
    <w:rsid w:val="31F75DB5"/>
    <w:rsid w:val="31F77B64"/>
    <w:rsid w:val="31F91B2E"/>
    <w:rsid w:val="32000A51"/>
    <w:rsid w:val="320A5AE9"/>
    <w:rsid w:val="320B4D27"/>
    <w:rsid w:val="320D3728"/>
    <w:rsid w:val="320E14BD"/>
    <w:rsid w:val="32140715"/>
    <w:rsid w:val="321C75CA"/>
    <w:rsid w:val="321E77E6"/>
    <w:rsid w:val="322443D1"/>
    <w:rsid w:val="322A1CE7"/>
    <w:rsid w:val="322A7F39"/>
    <w:rsid w:val="32300172"/>
    <w:rsid w:val="323808A8"/>
    <w:rsid w:val="323963CE"/>
    <w:rsid w:val="32400B34"/>
    <w:rsid w:val="3244724D"/>
    <w:rsid w:val="324A0517"/>
    <w:rsid w:val="324F5BF1"/>
    <w:rsid w:val="32527F37"/>
    <w:rsid w:val="32530FEB"/>
    <w:rsid w:val="32560D2E"/>
    <w:rsid w:val="3256204F"/>
    <w:rsid w:val="32672F3B"/>
    <w:rsid w:val="3268644D"/>
    <w:rsid w:val="32696723"/>
    <w:rsid w:val="326C485E"/>
    <w:rsid w:val="326C67A3"/>
    <w:rsid w:val="326F1DF0"/>
    <w:rsid w:val="3276317E"/>
    <w:rsid w:val="32785148"/>
    <w:rsid w:val="32810E27"/>
    <w:rsid w:val="32841197"/>
    <w:rsid w:val="328707EE"/>
    <w:rsid w:val="32877139"/>
    <w:rsid w:val="328B209B"/>
    <w:rsid w:val="328C4750"/>
    <w:rsid w:val="328D2531"/>
    <w:rsid w:val="328E2276"/>
    <w:rsid w:val="32941963"/>
    <w:rsid w:val="3294300A"/>
    <w:rsid w:val="329954A0"/>
    <w:rsid w:val="329B3BCB"/>
    <w:rsid w:val="329E6876"/>
    <w:rsid w:val="32A45F3D"/>
    <w:rsid w:val="32A5498C"/>
    <w:rsid w:val="32A61CB5"/>
    <w:rsid w:val="32A72D83"/>
    <w:rsid w:val="32A73338"/>
    <w:rsid w:val="32AA5162"/>
    <w:rsid w:val="32AC4DF2"/>
    <w:rsid w:val="32B32E5E"/>
    <w:rsid w:val="32B85394"/>
    <w:rsid w:val="32C53A9B"/>
    <w:rsid w:val="32C55EDE"/>
    <w:rsid w:val="32C86ACB"/>
    <w:rsid w:val="32CC7242"/>
    <w:rsid w:val="32CD683D"/>
    <w:rsid w:val="32CE2FBA"/>
    <w:rsid w:val="32D305D1"/>
    <w:rsid w:val="32D61E6F"/>
    <w:rsid w:val="32DB5D16"/>
    <w:rsid w:val="32DF6F75"/>
    <w:rsid w:val="32E71C2B"/>
    <w:rsid w:val="32EA0830"/>
    <w:rsid w:val="32EC51EE"/>
    <w:rsid w:val="32ED1692"/>
    <w:rsid w:val="32EE0123"/>
    <w:rsid w:val="32F03F19"/>
    <w:rsid w:val="32F72511"/>
    <w:rsid w:val="32F742BF"/>
    <w:rsid w:val="32FA6BE3"/>
    <w:rsid w:val="32FC00E3"/>
    <w:rsid w:val="3302690B"/>
    <w:rsid w:val="33030EB6"/>
    <w:rsid w:val="33093FF2"/>
    <w:rsid w:val="330B1B18"/>
    <w:rsid w:val="33135DA0"/>
    <w:rsid w:val="332350B4"/>
    <w:rsid w:val="33254857"/>
    <w:rsid w:val="33260700"/>
    <w:rsid w:val="33274478"/>
    <w:rsid w:val="332C1A8F"/>
    <w:rsid w:val="332C6BCD"/>
    <w:rsid w:val="332D412C"/>
    <w:rsid w:val="332E5807"/>
    <w:rsid w:val="333015F2"/>
    <w:rsid w:val="33352FA7"/>
    <w:rsid w:val="3337290D"/>
    <w:rsid w:val="3338676E"/>
    <w:rsid w:val="333F17C2"/>
    <w:rsid w:val="334212B2"/>
    <w:rsid w:val="33421811"/>
    <w:rsid w:val="33445F0D"/>
    <w:rsid w:val="33446DD8"/>
    <w:rsid w:val="33447CB8"/>
    <w:rsid w:val="334B6320"/>
    <w:rsid w:val="3353526D"/>
    <w:rsid w:val="33580915"/>
    <w:rsid w:val="3359269A"/>
    <w:rsid w:val="335A5504"/>
    <w:rsid w:val="335A762F"/>
    <w:rsid w:val="33721B98"/>
    <w:rsid w:val="3375470E"/>
    <w:rsid w:val="337551E4"/>
    <w:rsid w:val="337F42B4"/>
    <w:rsid w:val="33835B53"/>
    <w:rsid w:val="3385201F"/>
    <w:rsid w:val="33863895"/>
    <w:rsid w:val="338A553E"/>
    <w:rsid w:val="338B39B0"/>
    <w:rsid w:val="33970BC5"/>
    <w:rsid w:val="3398670F"/>
    <w:rsid w:val="339A6F51"/>
    <w:rsid w:val="339B70EA"/>
    <w:rsid w:val="33A04957"/>
    <w:rsid w:val="33A06705"/>
    <w:rsid w:val="33A30715"/>
    <w:rsid w:val="33A53974"/>
    <w:rsid w:val="33A819B6"/>
    <w:rsid w:val="33A8380B"/>
    <w:rsid w:val="33AD497E"/>
    <w:rsid w:val="33B421B0"/>
    <w:rsid w:val="33B53CA1"/>
    <w:rsid w:val="33B65F28"/>
    <w:rsid w:val="33BF01E7"/>
    <w:rsid w:val="33C87A09"/>
    <w:rsid w:val="33C95970"/>
    <w:rsid w:val="33CA1DA1"/>
    <w:rsid w:val="33CF0D98"/>
    <w:rsid w:val="33D12714"/>
    <w:rsid w:val="33D60378"/>
    <w:rsid w:val="33D62126"/>
    <w:rsid w:val="33D934D4"/>
    <w:rsid w:val="33DA14EB"/>
    <w:rsid w:val="33DC34B5"/>
    <w:rsid w:val="33DD128F"/>
    <w:rsid w:val="33E419BE"/>
    <w:rsid w:val="33E947A9"/>
    <w:rsid w:val="33EB02EF"/>
    <w:rsid w:val="33EC6C5A"/>
    <w:rsid w:val="33EE1189"/>
    <w:rsid w:val="33EF143A"/>
    <w:rsid w:val="33EF5F2B"/>
    <w:rsid w:val="33F1083D"/>
    <w:rsid w:val="33F24A86"/>
    <w:rsid w:val="33F70E4E"/>
    <w:rsid w:val="33FA0877"/>
    <w:rsid w:val="33FC76B3"/>
    <w:rsid w:val="33FD3B57"/>
    <w:rsid w:val="33FE2F6A"/>
    <w:rsid w:val="33FF27C2"/>
    <w:rsid w:val="340622E0"/>
    <w:rsid w:val="340D18C0"/>
    <w:rsid w:val="340E07E5"/>
    <w:rsid w:val="34190265"/>
    <w:rsid w:val="341E57FD"/>
    <w:rsid w:val="341E7629"/>
    <w:rsid w:val="342205A0"/>
    <w:rsid w:val="34235BF7"/>
    <w:rsid w:val="342735F4"/>
    <w:rsid w:val="342779D3"/>
    <w:rsid w:val="342C15DE"/>
    <w:rsid w:val="342E014E"/>
    <w:rsid w:val="34304C33"/>
    <w:rsid w:val="343432F1"/>
    <w:rsid w:val="34362BC5"/>
    <w:rsid w:val="343839CB"/>
    <w:rsid w:val="34393C8E"/>
    <w:rsid w:val="343E7E99"/>
    <w:rsid w:val="343F7EBF"/>
    <w:rsid w:val="34401C96"/>
    <w:rsid w:val="344233E9"/>
    <w:rsid w:val="34431889"/>
    <w:rsid w:val="34475CE0"/>
    <w:rsid w:val="34497186"/>
    <w:rsid w:val="344A7E0A"/>
    <w:rsid w:val="344C063B"/>
    <w:rsid w:val="34515C51"/>
    <w:rsid w:val="345A7E87"/>
    <w:rsid w:val="345B262C"/>
    <w:rsid w:val="345F6A9C"/>
    <w:rsid w:val="346314E0"/>
    <w:rsid w:val="346534AA"/>
    <w:rsid w:val="34681CD8"/>
    <w:rsid w:val="346B00EF"/>
    <w:rsid w:val="347511DE"/>
    <w:rsid w:val="347571BA"/>
    <w:rsid w:val="3476081D"/>
    <w:rsid w:val="347B4A7C"/>
    <w:rsid w:val="348428C3"/>
    <w:rsid w:val="34871673"/>
    <w:rsid w:val="34880F47"/>
    <w:rsid w:val="348E1E37"/>
    <w:rsid w:val="34902B64"/>
    <w:rsid w:val="34930017"/>
    <w:rsid w:val="34961D7D"/>
    <w:rsid w:val="349A41EB"/>
    <w:rsid w:val="349D25AB"/>
    <w:rsid w:val="349F4C0E"/>
    <w:rsid w:val="34A0046F"/>
    <w:rsid w:val="34A044E2"/>
    <w:rsid w:val="34A246FE"/>
    <w:rsid w:val="34A32F42"/>
    <w:rsid w:val="34A66A7B"/>
    <w:rsid w:val="34A83397"/>
    <w:rsid w:val="34A90091"/>
    <w:rsid w:val="34AB35B3"/>
    <w:rsid w:val="34AC732B"/>
    <w:rsid w:val="34AF0170"/>
    <w:rsid w:val="34B306BA"/>
    <w:rsid w:val="34B65AB4"/>
    <w:rsid w:val="34BE5C59"/>
    <w:rsid w:val="34C12DD7"/>
    <w:rsid w:val="34C3500D"/>
    <w:rsid w:val="34C56129"/>
    <w:rsid w:val="34C66863"/>
    <w:rsid w:val="34CA77B1"/>
    <w:rsid w:val="34CC1E87"/>
    <w:rsid w:val="34CE2DFE"/>
    <w:rsid w:val="34CF6B76"/>
    <w:rsid w:val="34D526E0"/>
    <w:rsid w:val="34D709B8"/>
    <w:rsid w:val="34DB376C"/>
    <w:rsid w:val="34E37E7E"/>
    <w:rsid w:val="34EE16F2"/>
    <w:rsid w:val="34F12F90"/>
    <w:rsid w:val="34F46E03"/>
    <w:rsid w:val="34FA5C76"/>
    <w:rsid w:val="35064C8D"/>
    <w:rsid w:val="350B5E00"/>
    <w:rsid w:val="350C1BA2"/>
    <w:rsid w:val="350E3B42"/>
    <w:rsid w:val="351029FA"/>
    <w:rsid w:val="351A3F46"/>
    <w:rsid w:val="351E1929"/>
    <w:rsid w:val="351F3659"/>
    <w:rsid w:val="35243365"/>
    <w:rsid w:val="35260E8C"/>
    <w:rsid w:val="352A0CDD"/>
    <w:rsid w:val="35301D0A"/>
    <w:rsid w:val="353251AA"/>
    <w:rsid w:val="35337105"/>
    <w:rsid w:val="35360BE5"/>
    <w:rsid w:val="35370519"/>
    <w:rsid w:val="35386696"/>
    <w:rsid w:val="35413E8F"/>
    <w:rsid w:val="354A3651"/>
    <w:rsid w:val="354B08F2"/>
    <w:rsid w:val="354B26A0"/>
    <w:rsid w:val="354B6B44"/>
    <w:rsid w:val="354C4B4C"/>
    <w:rsid w:val="3555351F"/>
    <w:rsid w:val="3558300F"/>
    <w:rsid w:val="355A6D01"/>
    <w:rsid w:val="355F375B"/>
    <w:rsid w:val="35642908"/>
    <w:rsid w:val="3566192B"/>
    <w:rsid w:val="3568020D"/>
    <w:rsid w:val="35690D78"/>
    <w:rsid w:val="356B3EAB"/>
    <w:rsid w:val="356D3A0C"/>
    <w:rsid w:val="35727C2D"/>
    <w:rsid w:val="3576260B"/>
    <w:rsid w:val="357A4D33"/>
    <w:rsid w:val="357E0CC8"/>
    <w:rsid w:val="357F67EE"/>
    <w:rsid w:val="358160C2"/>
    <w:rsid w:val="35835406"/>
    <w:rsid w:val="3586724C"/>
    <w:rsid w:val="35895110"/>
    <w:rsid w:val="358B3826"/>
    <w:rsid w:val="358C5FA8"/>
    <w:rsid w:val="358E6A31"/>
    <w:rsid w:val="35956011"/>
    <w:rsid w:val="359C2EFC"/>
    <w:rsid w:val="35A17C6A"/>
    <w:rsid w:val="35A33F40"/>
    <w:rsid w:val="35A41DB0"/>
    <w:rsid w:val="35A63D7A"/>
    <w:rsid w:val="35A77929"/>
    <w:rsid w:val="35AA2402"/>
    <w:rsid w:val="35AC1C8D"/>
    <w:rsid w:val="35B32C2A"/>
    <w:rsid w:val="35B80D71"/>
    <w:rsid w:val="35BB5A78"/>
    <w:rsid w:val="35C10BB4"/>
    <w:rsid w:val="35C12962"/>
    <w:rsid w:val="35C15DF1"/>
    <w:rsid w:val="35C30488"/>
    <w:rsid w:val="35C81F43"/>
    <w:rsid w:val="35CA5862"/>
    <w:rsid w:val="35CB558F"/>
    <w:rsid w:val="35D24B6F"/>
    <w:rsid w:val="35D97CAC"/>
    <w:rsid w:val="35DB1359"/>
    <w:rsid w:val="35DE1766"/>
    <w:rsid w:val="35E137AB"/>
    <w:rsid w:val="35E36D7D"/>
    <w:rsid w:val="35ED56E8"/>
    <w:rsid w:val="35F04FF6"/>
    <w:rsid w:val="35F35F26"/>
    <w:rsid w:val="35F84F26"/>
    <w:rsid w:val="35F9034E"/>
    <w:rsid w:val="35FC1BEC"/>
    <w:rsid w:val="360200A4"/>
    <w:rsid w:val="36022B5B"/>
    <w:rsid w:val="360559ED"/>
    <w:rsid w:val="36064819"/>
    <w:rsid w:val="36074A7F"/>
    <w:rsid w:val="3608233F"/>
    <w:rsid w:val="360B1E2F"/>
    <w:rsid w:val="360F18B9"/>
    <w:rsid w:val="36107446"/>
    <w:rsid w:val="36117B96"/>
    <w:rsid w:val="361E7F1E"/>
    <w:rsid w:val="36204C24"/>
    <w:rsid w:val="36251143"/>
    <w:rsid w:val="36290A57"/>
    <w:rsid w:val="36290D28"/>
    <w:rsid w:val="362A49AB"/>
    <w:rsid w:val="362C142B"/>
    <w:rsid w:val="362D624A"/>
    <w:rsid w:val="36317AE8"/>
    <w:rsid w:val="36323860"/>
    <w:rsid w:val="36341386"/>
    <w:rsid w:val="36343134"/>
    <w:rsid w:val="36343C3D"/>
    <w:rsid w:val="3636742A"/>
    <w:rsid w:val="3639652D"/>
    <w:rsid w:val="363D46DF"/>
    <w:rsid w:val="363F4826"/>
    <w:rsid w:val="36491EE7"/>
    <w:rsid w:val="364D20AC"/>
    <w:rsid w:val="364F7F6E"/>
    <w:rsid w:val="3651018A"/>
    <w:rsid w:val="36513CE6"/>
    <w:rsid w:val="365E6403"/>
    <w:rsid w:val="3663062D"/>
    <w:rsid w:val="36794AE4"/>
    <w:rsid w:val="36794FEB"/>
    <w:rsid w:val="367B5207"/>
    <w:rsid w:val="3684230E"/>
    <w:rsid w:val="36850547"/>
    <w:rsid w:val="36895A6F"/>
    <w:rsid w:val="368D0818"/>
    <w:rsid w:val="368E0C09"/>
    <w:rsid w:val="368E7C20"/>
    <w:rsid w:val="36923549"/>
    <w:rsid w:val="369462C9"/>
    <w:rsid w:val="36A209E6"/>
    <w:rsid w:val="36A2746C"/>
    <w:rsid w:val="36AA5AEC"/>
    <w:rsid w:val="36AA7F2F"/>
    <w:rsid w:val="36B50719"/>
    <w:rsid w:val="36B75FBF"/>
    <w:rsid w:val="36B85B13"/>
    <w:rsid w:val="36BB5604"/>
    <w:rsid w:val="36BD0C45"/>
    <w:rsid w:val="36C26992"/>
    <w:rsid w:val="36C30F1F"/>
    <w:rsid w:val="36C93CF6"/>
    <w:rsid w:val="36CA7454"/>
    <w:rsid w:val="36CB3FE0"/>
    <w:rsid w:val="36D56C08"/>
    <w:rsid w:val="36D84407"/>
    <w:rsid w:val="36E246BD"/>
    <w:rsid w:val="36E70768"/>
    <w:rsid w:val="36E755A5"/>
    <w:rsid w:val="36EA5EE9"/>
    <w:rsid w:val="36EF1910"/>
    <w:rsid w:val="36EF34FF"/>
    <w:rsid w:val="36EF52AD"/>
    <w:rsid w:val="36F14E0E"/>
    <w:rsid w:val="36F34D9D"/>
    <w:rsid w:val="36F62AE0"/>
    <w:rsid w:val="36FA0124"/>
    <w:rsid w:val="36FA25D0"/>
    <w:rsid w:val="36FB3DC7"/>
    <w:rsid w:val="36FD3E6E"/>
    <w:rsid w:val="36FD633F"/>
    <w:rsid w:val="36FE6E76"/>
    <w:rsid w:val="37063AC5"/>
    <w:rsid w:val="370B3A5B"/>
    <w:rsid w:val="370B3E78"/>
    <w:rsid w:val="370C5E5F"/>
    <w:rsid w:val="3711192B"/>
    <w:rsid w:val="37164784"/>
    <w:rsid w:val="371D62BE"/>
    <w:rsid w:val="371F6367"/>
    <w:rsid w:val="372413FB"/>
    <w:rsid w:val="372455AC"/>
    <w:rsid w:val="372B09DB"/>
    <w:rsid w:val="372B2789"/>
    <w:rsid w:val="372C6501"/>
    <w:rsid w:val="372D6939"/>
    <w:rsid w:val="37364CD4"/>
    <w:rsid w:val="373A0C1E"/>
    <w:rsid w:val="37407074"/>
    <w:rsid w:val="37450E59"/>
    <w:rsid w:val="3745652D"/>
    <w:rsid w:val="374B5EE5"/>
    <w:rsid w:val="375A2BC4"/>
    <w:rsid w:val="376161AB"/>
    <w:rsid w:val="376307E6"/>
    <w:rsid w:val="37667C65"/>
    <w:rsid w:val="376E3C94"/>
    <w:rsid w:val="377A726D"/>
    <w:rsid w:val="377E04A5"/>
    <w:rsid w:val="378105FB"/>
    <w:rsid w:val="3787198A"/>
    <w:rsid w:val="37877685"/>
    <w:rsid w:val="378B147A"/>
    <w:rsid w:val="378D51F2"/>
    <w:rsid w:val="3790083E"/>
    <w:rsid w:val="37906A90"/>
    <w:rsid w:val="37983B97"/>
    <w:rsid w:val="37985945"/>
    <w:rsid w:val="37986127"/>
    <w:rsid w:val="379A6CC9"/>
    <w:rsid w:val="379D2F5B"/>
    <w:rsid w:val="379E73FF"/>
    <w:rsid w:val="379F3DB1"/>
    <w:rsid w:val="37A07F50"/>
    <w:rsid w:val="37A61E10"/>
    <w:rsid w:val="37A67129"/>
    <w:rsid w:val="37A95636"/>
    <w:rsid w:val="37AC319E"/>
    <w:rsid w:val="37AC5965"/>
    <w:rsid w:val="37AD7642"/>
    <w:rsid w:val="37B24C58"/>
    <w:rsid w:val="37BA2E82"/>
    <w:rsid w:val="37BA3B0D"/>
    <w:rsid w:val="37C257F8"/>
    <w:rsid w:val="37C4498C"/>
    <w:rsid w:val="37C93D50"/>
    <w:rsid w:val="37CD3F9D"/>
    <w:rsid w:val="37CE5A50"/>
    <w:rsid w:val="37D30788"/>
    <w:rsid w:val="37D3697D"/>
    <w:rsid w:val="37DD2F2E"/>
    <w:rsid w:val="37E00298"/>
    <w:rsid w:val="37E62B54"/>
    <w:rsid w:val="37E64902"/>
    <w:rsid w:val="37E8044B"/>
    <w:rsid w:val="37F012DD"/>
    <w:rsid w:val="37F81428"/>
    <w:rsid w:val="37F954B9"/>
    <w:rsid w:val="37F963E3"/>
    <w:rsid w:val="380056EB"/>
    <w:rsid w:val="3805122C"/>
    <w:rsid w:val="3808193A"/>
    <w:rsid w:val="38095787"/>
    <w:rsid w:val="380F5E02"/>
    <w:rsid w:val="38123949"/>
    <w:rsid w:val="38133B61"/>
    <w:rsid w:val="381A45AC"/>
    <w:rsid w:val="382316B2"/>
    <w:rsid w:val="38237904"/>
    <w:rsid w:val="382D2B59"/>
    <w:rsid w:val="38306DED"/>
    <w:rsid w:val="383218F5"/>
    <w:rsid w:val="383507FF"/>
    <w:rsid w:val="38364D45"/>
    <w:rsid w:val="383B252E"/>
    <w:rsid w:val="383C4522"/>
    <w:rsid w:val="38403535"/>
    <w:rsid w:val="38427E42"/>
    <w:rsid w:val="3843425C"/>
    <w:rsid w:val="384412E5"/>
    <w:rsid w:val="385201EA"/>
    <w:rsid w:val="385775AE"/>
    <w:rsid w:val="38626648"/>
    <w:rsid w:val="38635F53"/>
    <w:rsid w:val="38673C95"/>
    <w:rsid w:val="387210AA"/>
    <w:rsid w:val="38724D83"/>
    <w:rsid w:val="387306F0"/>
    <w:rsid w:val="38743CBC"/>
    <w:rsid w:val="38787C50"/>
    <w:rsid w:val="387B7207"/>
    <w:rsid w:val="387B78CA"/>
    <w:rsid w:val="387C010F"/>
    <w:rsid w:val="387F0BE3"/>
    <w:rsid w:val="3881462B"/>
    <w:rsid w:val="38862621"/>
    <w:rsid w:val="38886AA3"/>
    <w:rsid w:val="388B19AC"/>
    <w:rsid w:val="388E7474"/>
    <w:rsid w:val="38961E84"/>
    <w:rsid w:val="389820A0"/>
    <w:rsid w:val="389B48F4"/>
    <w:rsid w:val="389E6F8B"/>
    <w:rsid w:val="38A071A7"/>
    <w:rsid w:val="38A2353F"/>
    <w:rsid w:val="38A26A7B"/>
    <w:rsid w:val="38A763BA"/>
    <w:rsid w:val="38A96FD3"/>
    <w:rsid w:val="38AC4F89"/>
    <w:rsid w:val="38AD342D"/>
    <w:rsid w:val="38B20650"/>
    <w:rsid w:val="38B302F9"/>
    <w:rsid w:val="38B36EDA"/>
    <w:rsid w:val="38C15FDF"/>
    <w:rsid w:val="38C43E25"/>
    <w:rsid w:val="38C70290"/>
    <w:rsid w:val="38CA5FD2"/>
    <w:rsid w:val="38CD51AD"/>
    <w:rsid w:val="38D155B2"/>
    <w:rsid w:val="38D26C34"/>
    <w:rsid w:val="38D40BFF"/>
    <w:rsid w:val="38D86941"/>
    <w:rsid w:val="38DA461C"/>
    <w:rsid w:val="38DC04FB"/>
    <w:rsid w:val="38DD3F57"/>
    <w:rsid w:val="38DF36FB"/>
    <w:rsid w:val="38E452E6"/>
    <w:rsid w:val="38E52111"/>
    <w:rsid w:val="38E86458"/>
    <w:rsid w:val="38EB4FAC"/>
    <w:rsid w:val="38EC7CF6"/>
    <w:rsid w:val="38EE1CC0"/>
    <w:rsid w:val="38EE329A"/>
    <w:rsid w:val="38EF1907"/>
    <w:rsid w:val="38F12CD3"/>
    <w:rsid w:val="38F60FE5"/>
    <w:rsid w:val="38F65019"/>
    <w:rsid w:val="38F73ECF"/>
    <w:rsid w:val="38F94775"/>
    <w:rsid w:val="38FA53E4"/>
    <w:rsid w:val="38FF3D60"/>
    <w:rsid w:val="391A2AB5"/>
    <w:rsid w:val="391B682D"/>
    <w:rsid w:val="391D3E89"/>
    <w:rsid w:val="391F4474"/>
    <w:rsid w:val="3926257F"/>
    <w:rsid w:val="39277747"/>
    <w:rsid w:val="392971ED"/>
    <w:rsid w:val="39316051"/>
    <w:rsid w:val="39325651"/>
    <w:rsid w:val="39335925"/>
    <w:rsid w:val="39342404"/>
    <w:rsid w:val="39351524"/>
    <w:rsid w:val="393B0FC1"/>
    <w:rsid w:val="393F22FB"/>
    <w:rsid w:val="39477AEF"/>
    <w:rsid w:val="394D4EEC"/>
    <w:rsid w:val="395064D7"/>
    <w:rsid w:val="395C11BA"/>
    <w:rsid w:val="395D40E3"/>
    <w:rsid w:val="39641F82"/>
    <w:rsid w:val="39663F4D"/>
    <w:rsid w:val="396C52DB"/>
    <w:rsid w:val="39734323"/>
    <w:rsid w:val="39736669"/>
    <w:rsid w:val="39737EC8"/>
    <w:rsid w:val="39743AD8"/>
    <w:rsid w:val="397B4D2C"/>
    <w:rsid w:val="397D4DF2"/>
    <w:rsid w:val="39861D31"/>
    <w:rsid w:val="3986751C"/>
    <w:rsid w:val="398B5761"/>
    <w:rsid w:val="398E0DAD"/>
    <w:rsid w:val="398E6FFF"/>
    <w:rsid w:val="3991161B"/>
    <w:rsid w:val="399A59A4"/>
    <w:rsid w:val="399C796E"/>
    <w:rsid w:val="399E18C7"/>
    <w:rsid w:val="39A11EF4"/>
    <w:rsid w:val="39A84565"/>
    <w:rsid w:val="39A877B8"/>
    <w:rsid w:val="39AF66BF"/>
    <w:rsid w:val="39B154C0"/>
    <w:rsid w:val="39B36A66"/>
    <w:rsid w:val="39B747A8"/>
    <w:rsid w:val="39BA1BA2"/>
    <w:rsid w:val="39BA6046"/>
    <w:rsid w:val="39BC1ADD"/>
    <w:rsid w:val="39C95344"/>
    <w:rsid w:val="39CE564E"/>
    <w:rsid w:val="39D07618"/>
    <w:rsid w:val="39D27788"/>
    <w:rsid w:val="39D72679"/>
    <w:rsid w:val="39D76BF8"/>
    <w:rsid w:val="39D834D9"/>
    <w:rsid w:val="39E210F9"/>
    <w:rsid w:val="39E3559D"/>
    <w:rsid w:val="39E40749"/>
    <w:rsid w:val="39E75B9B"/>
    <w:rsid w:val="39E84962"/>
    <w:rsid w:val="39EE5CF0"/>
    <w:rsid w:val="39F257E0"/>
    <w:rsid w:val="39F5444A"/>
    <w:rsid w:val="39FA6443"/>
    <w:rsid w:val="3A023BD2"/>
    <w:rsid w:val="3A137505"/>
    <w:rsid w:val="3A1626B6"/>
    <w:rsid w:val="3A176FF5"/>
    <w:rsid w:val="3A185405"/>
    <w:rsid w:val="3A2044C5"/>
    <w:rsid w:val="3A2679A6"/>
    <w:rsid w:val="3A287454"/>
    <w:rsid w:val="3A2A1AA1"/>
    <w:rsid w:val="3A2D6818"/>
    <w:rsid w:val="3A2F691D"/>
    <w:rsid w:val="3A3E6C77"/>
    <w:rsid w:val="3A4C08DD"/>
    <w:rsid w:val="3A4F3FEF"/>
    <w:rsid w:val="3A540D16"/>
    <w:rsid w:val="3A541839"/>
    <w:rsid w:val="3A6260EA"/>
    <w:rsid w:val="3A687368"/>
    <w:rsid w:val="3A6B0E83"/>
    <w:rsid w:val="3A6B10EF"/>
    <w:rsid w:val="3A6B651B"/>
    <w:rsid w:val="3A744447"/>
    <w:rsid w:val="3A75732B"/>
    <w:rsid w:val="3A7901D7"/>
    <w:rsid w:val="3A8551F3"/>
    <w:rsid w:val="3A872856"/>
    <w:rsid w:val="3A886145"/>
    <w:rsid w:val="3A8C79E3"/>
    <w:rsid w:val="3A915A51"/>
    <w:rsid w:val="3A927AD3"/>
    <w:rsid w:val="3A971EE4"/>
    <w:rsid w:val="3A973907"/>
    <w:rsid w:val="3AA05F51"/>
    <w:rsid w:val="3AA730CD"/>
    <w:rsid w:val="3AA82343"/>
    <w:rsid w:val="3AA9286B"/>
    <w:rsid w:val="3AAC1982"/>
    <w:rsid w:val="3AAF1923"/>
    <w:rsid w:val="3AB2741B"/>
    <w:rsid w:val="3AB57F4E"/>
    <w:rsid w:val="3ABB02C8"/>
    <w:rsid w:val="3ABE1B66"/>
    <w:rsid w:val="3AC35398"/>
    <w:rsid w:val="3AC5753A"/>
    <w:rsid w:val="3AC70A1B"/>
    <w:rsid w:val="3AC84793"/>
    <w:rsid w:val="3ACE7FFB"/>
    <w:rsid w:val="3AD83FD0"/>
    <w:rsid w:val="3ADE5D64"/>
    <w:rsid w:val="3AE74C19"/>
    <w:rsid w:val="3AEE22E7"/>
    <w:rsid w:val="3AEE519D"/>
    <w:rsid w:val="3AF45588"/>
    <w:rsid w:val="3B023801"/>
    <w:rsid w:val="3B042FCA"/>
    <w:rsid w:val="3B051543"/>
    <w:rsid w:val="3B053A51"/>
    <w:rsid w:val="3B05532F"/>
    <w:rsid w:val="3B07088A"/>
    <w:rsid w:val="3B084B8F"/>
    <w:rsid w:val="3B0B730F"/>
    <w:rsid w:val="3B0E664A"/>
    <w:rsid w:val="3B127E4A"/>
    <w:rsid w:val="3B1802ED"/>
    <w:rsid w:val="3B19005A"/>
    <w:rsid w:val="3B191B5E"/>
    <w:rsid w:val="3B1C005F"/>
    <w:rsid w:val="3B345984"/>
    <w:rsid w:val="3B3763D1"/>
    <w:rsid w:val="3B3B31B7"/>
    <w:rsid w:val="3B3F7E00"/>
    <w:rsid w:val="3B442094"/>
    <w:rsid w:val="3B4D2873"/>
    <w:rsid w:val="3B4E6A46"/>
    <w:rsid w:val="3B506C62"/>
    <w:rsid w:val="3B557F78"/>
    <w:rsid w:val="3B5E2A01"/>
    <w:rsid w:val="3B5F50F7"/>
    <w:rsid w:val="3B5F6EA5"/>
    <w:rsid w:val="3B651E25"/>
    <w:rsid w:val="3B673FAC"/>
    <w:rsid w:val="3B677B08"/>
    <w:rsid w:val="3B6B5968"/>
    <w:rsid w:val="3B702E61"/>
    <w:rsid w:val="3B710987"/>
    <w:rsid w:val="3B7562CE"/>
    <w:rsid w:val="3B78439C"/>
    <w:rsid w:val="3B7F3FB6"/>
    <w:rsid w:val="3B806E1C"/>
    <w:rsid w:val="3B810333"/>
    <w:rsid w:val="3B844B5E"/>
    <w:rsid w:val="3B8B7C9A"/>
    <w:rsid w:val="3B8F2E44"/>
    <w:rsid w:val="3B90705F"/>
    <w:rsid w:val="3B9160FE"/>
    <w:rsid w:val="3B923E70"/>
    <w:rsid w:val="3B981DD4"/>
    <w:rsid w:val="3B9823B7"/>
    <w:rsid w:val="3B984165"/>
    <w:rsid w:val="3B9B5A04"/>
    <w:rsid w:val="3B9C3C56"/>
    <w:rsid w:val="3B9D5784"/>
    <w:rsid w:val="3B9D5C20"/>
    <w:rsid w:val="3B9F2DF8"/>
    <w:rsid w:val="3B9F369A"/>
    <w:rsid w:val="3BA01860"/>
    <w:rsid w:val="3BA05966"/>
    <w:rsid w:val="3BA54D16"/>
    <w:rsid w:val="3BA63103"/>
    <w:rsid w:val="3BAA0EC7"/>
    <w:rsid w:val="3BAA3C0E"/>
    <w:rsid w:val="3BAE4E4B"/>
    <w:rsid w:val="3BB014AF"/>
    <w:rsid w:val="3BBA7D64"/>
    <w:rsid w:val="3BC46D08"/>
    <w:rsid w:val="3BC82C9D"/>
    <w:rsid w:val="3BCB453B"/>
    <w:rsid w:val="3BD86AFA"/>
    <w:rsid w:val="3BDD7356"/>
    <w:rsid w:val="3BE15B0C"/>
    <w:rsid w:val="3BED2703"/>
    <w:rsid w:val="3BED690D"/>
    <w:rsid w:val="3BF55114"/>
    <w:rsid w:val="3BF770DE"/>
    <w:rsid w:val="3BF910A8"/>
    <w:rsid w:val="3BFC46F4"/>
    <w:rsid w:val="3BFF5F92"/>
    <w:rsid w:val="3C000AA1"/>
    <w:rsid w:val="3C020626"/>
    <w:rsid w:val="3C0246BB"/>
    <w:rsid w:val="3C027831"/>
    <w:rsid w:val="3C037471"/>
    <w:rsid w:val="3C0637C5"/>
    <w:rsid w:val="3C08753D"/>
    <w:rsid w:val="3C0B0DDB"/>
    <w:rsid w:val="3C131A3E"/>
    <w:rsid w:val="3C145EE2"/>
    <w:rsid w:val="3C153A08"/>
    <w:rsid w:val="3C172968"/>
    <w:rsid w:val="3C2250CC"/>
    <w:rsid w:val="3C242530"/>
    <w:rsid w:val="3C2854E9"/>
    <w:rsid w:val="3C2A52A4"/>
    <w:rsid w:val="3C2F6E1E"/>
    <w:rsid w:val="3C3814A4"/>
    <w:rsid w:val="3C395948"/>
    <w:rsid w:val="3C3E521E"/>
    <w:rsid w:val="3C3F0A85"/>
    <w:rsid w:val="3C401B3A"/>
    <w:rsid w:val="3C430575"/>
    <w:rsid w:val="3C460065"/>
    <w:rsid w:val="3C463BC1"/>
    <w:rsid w:val="3C4758CA"/>
    <w:rsid w:val="3C4C649C"/>
    <w:rsid w:val="3C4E2A76"/>
    <w:rsid w:val="3C4F49CE"/>
    <w:rsid w:val="3C4F64BA"/>
    <w:rsid w:val="3C5207B8"/>
    <w:rsid w:val="3C574020"/>
    <w:rsid w:val="3C5D2A67"/>
    <w:rsid w:val="3C5E0F0B"/>
    <w:rsid w:val="3C5F0C18"/>
    <w:rsid w:val="3C6127A9"/>
    <w:rsid w:val="3C634773"/>
    <w:rsid w:val="3C636521"/>
    <w:rsid w:val="3C6D10A0"/>
    <w:rsid w:val="3C795D45"/>
    <w:rsid w:val="3C814BF9"/>
    <w:rsid w:val="3C842C9E"/>
    <w:rsid w:val="3C844B13"/>
    <w:rsid w:val="3C86449E"/>
    <w:rsid w:val="3C8B3CCA"/>
    <w:rsid w:val="3C8F5CA1"/>
    <w:rsid w:val="3C922A41"/>
    <w:rsid w:val="3C937406"/>
    <w:rsid w:val="3C960221"/>
    <w:rsid w:val="3C991F43"/>
    <w:rsid w:val="3C9A5CBB"/>
    <w:rsid w:val="3C9B1C38"/>
    <w:rsid w:val="3CA01523"/>
    <w:rsid w:val="3CA93677"/>
    <w:rsid w:val="3CAF5C0A"/>
    <w:rsid w:val="3CB054DF"/>
    <w:rsid w:val="3CB254F0"/>
    <w:rsid w:val="3CB43221"/>
    <w:rsid w:val="3CBB4F2E"/>
    <w:rsid w:val="3CC038F9"/>
    <w:rsid w:val="3CC06C77"/>
    <w:rsid w:val="3CC77D53"/>
    <w:rsid w:val="3CCB3725"/>
    <w:rsid w:val="3CCB40C7"/>
    <w:rsid w:val="3CCF629A"/>
    <w:rsid w:val="3CD236A7"/>
    <w:rsid w:val="3CD30B5E"/>
    <w:rsid w:val="3CD319E4"/>
    <w:rsid w:val="3CD5470D"/>
    <w:rsid w:val="3CD80613"/>
    <w:rsid w:val="3CDA245A"/>
    <w:rsid w:val="3CE31410"/>
    <w:rsid w:val="3CE454BE"/>
    <w:rsid w:val="3CE60F00"/>
    <w:rsid w:val="3CEB3C34"/>
    <w:rsid w:val="3CEC4769"/>
    <w:rsid w:val="3CEF6007"/>
    <w:rsid w:val="3CF01FCD"/>
    <w:rsid w:val="3CF11D7F"/>
    <w:rsid w:val="3CF17FD1"/>
    <w:rsid w:val="3CF34204"/>
    <w:rsid w:val="3CF47AC1"/>
    <w:rsid w:val="3CF67B10"/>
    <w:rsid w:val="3CFF674E"/>
    <w:rsid w:val="3D033860"/>
    <w:rsid w:val="3D037D04"/>
    <w:rsid w:val="3D073351"/>
    <w:rsid w:val="3D125367"/>
    <w:rsid w:val="3D127F47"/>
    <w:rsid w:val="3D146394"/>
    <w:rsid w:val="3D1619C3"/>
    <w:rsid w:val="3D1E06B7"/>
    <w:rsid w:val="3D213899"/>
    <w:rsid w:val="3D224609"/>
    <w:rsid w:val="3D22462E"/>
    <w:rsid w:val="3D2263DC"/>
    <w:rsid w:val="3D226FA8"/>
    <w:rsid w:val="3D263E9D"/>
    <w:rsid w:val="3D2B4A7E"/>
    <w:rsid w:val="3D2C2F4C"/>
    <w:rsid w:val="3D2F17FB"/>
    <w:rsid w:val="3D314DBE"/>
    <w:rsid w:val="3D324146"/>
    <w:rsid w:val="3D3305EA"/>
    <w:rsid w:val="3D37175C"/>
    <w:rsid w:val="3D3A3FFF"/>
    <w:rsid w:val="3D456F15"/>
    <w:rsid w:val="3D504B04"/>
    <w:rsid w:val="3D5347E8"/>
    <w:rsid w:val="3D5B544A"/>
    <w:rsid w:val="3D5F318D"/>
    <w:rsid w:val="3D632551"/>
    <w:rsid w:val="3D687B67"/>
    <w:rsid w:val="3D69400B"/>
    <w:rsid w:val="3D6E6023"/>
    <w:rsid w:val="3D7824A0"/>
    <w:rsid w:val="3D7A6218"/>
    <w:rsid w:val="3D7B3D3F"/>
    <w:rsid w:val="3D7C5602"/>
    <w:rsid w:val="3D7F55DD"/>
    <w:rsid w:val="3D803103"/>
    <w:rsid w:val="3D89020A"/>
    <w:rsid w:val="3D892D43"/>
    <w:rsid w:val="3D8D43A3"/>
    <w:rsid w:val="3D91297D"/>
    <w:rsid w:val="3D913562"/>
    <w:rsid w:val="3D937AD8"/>
    <w:rsid w:val="3D9B7F3D"/>
    <w:rsid w:val="3D9D7144"/>
    <w:rsid w:val="3DA336B6"/>
    <w:rsid w:val="3DAB60B8"/>
    <w:rsid w:val="3DB159B2"/>
    <w:rsid w:val="3DB57251"/>
    <w:rsid w:val="3DB64BA3"/>
    <w:rsid w:val="3DB80AEF"/>
    <w:rsid w:val="3DBA03C3"/>
    <w:rsid w:val="3DBC05DF"/>
    <w:rsid w:val="3DBD5BA8"/>
    <w:rsid w:val="3DBD7EB3"/>
    <w:rsid w:val="3DBF59D9"/>
    <w:rsid w:val="3DC079A3"/>
    <w:rsid w:val="3DC24FFD"/>
    <w:rsid w:val="3DC45EC6"/>
    <w:rsid w:val="3DC96858"/>
    <w:rsid w:val="3DCE20C0"/>
    <w:rsid w:val="3DD05D97"/>
    <w:rsid w:val="3DD57CCC"/>
    <w:rsid w:val="3DD75419"/>
    <w:rsid w:val="3DDA40C8"/>
    <w:rsid w:val="3DDB5988"/>
    <w:rsid w:val="3DE10046"/>
    <w:rsid w:val="3DE4551F"/>
    <w:rsid w:val="3DE546A6"/>
    <w:rsid w:val="3DE6565C"/>
    <w:rsid w:val="3DE92462"/>
    <w:rsid w:val="3DEC564C"/>
    <w:rsid w:val="3DF15DAF"/>
    <w:rsid w:val="3DF84269"/>
    <w:rsid w:val="3DF97023"/>
    <w:rsid w:val="3DFA1107"/>
    <w:rsid w:val="3DFB067E"/>
    <w:rsid w:val="3E01150B"/>
    <w:rsid w:val="3E023997"/>
    <w:rsid w:val="3E061932"/>
    <w:rsid w:val="3E0C2BE9"/>
    <w:rsid w:val="3E0E5AAE"/>
    <w:rsid w:val="3E1179B8"/>
    <w:rsid w:val="3E123AA8"/>
    <w:rsid w:val="3E135E56"/>
    <w:rsid w:val="3E1B5117"/>
    <w:rsid w:val="3E1D461D"/>
    <w:rsid w:val="3E1D6BA4"/>
    <w:rsid w:val="3E255739"/>
    <w:rsid w:val="3E283348"/>
    <w:rsid w:val="3E2871C8"/>
    <w:rsid w:val="3E2D55BB"/>
    <w:rsid w:val="3E2F4838"/>
    <w:rsid w:val="3E326FCB"/>
    <w:rsid w:val="3E3C34CE"/>
    <w:rsid w:val="3E3C527C"/>
    <w:rsid w:val="3E3D0FF4"/>
    <w:rsid w:val="3E3E2941"/>
    <w:rsid w:val="3E495BEB"/>
    <w:rsid w:val="3E554DF2"/>
    <w:rsid w:val="3E5C0E7B"/>
    <w:rsid w:val="3E6056B7"/>
    <w:rsid w:val="3E614CE2"/>
    <w:rsid w:val="3E6246F2"/>
    <w:rsid w:val="3E6447D3"/>
    <w:rsid w:val="3E6477B6"/>
    <w:rsid w:val="3E6B2235"/>
    <w:rsid w:val="3E6D7B2B"/>
    <w:rsid w:val="3E703177"/>
    <w:rsid w:val="3E726EF0"/>
    <w:rsid w:val="3E772758"/>
    <w:rsid w:val="3E7C7D6E"/>
    <w:rsid w:val="3E7F160D"/>
    <w:rsid w:val="3E832EAB"/>
    <w:rsid w:val="3E854E75"/>
    <w:rsid w:val="3E895FE7"/>
    <w:rsid w:val="3E8B7FB1"/>
    <w:rsid w:val="3E8D1F7B"/>
    <w:rsid w:val="3E903D24"/>
    <w:rsid w:val="3E95498C"/>
    <w:rsid w:val="3E954D99"/>
    <w:rsid w:val="3E99522E"/>
    <w:rsid w:val="3E9F2E58"/>
    <w:rsid w:val="3EA01CAF"/>
    <w:rsid w:val="3EA05D9B"/>
    <w:rsid w:val="3EA572C5"/>
    <w:rsid w:val="3EA96D5F"/>
    <w:rsid w:val="3EB51663"/>
    <w:rsid w:val="3EB516C8"/>
    <w:rsid w:val="3EB5502E"/>
    <w:rsid w:val="3EBB33D7"/>
    <w:rsid w:val="3EBB3EB5"/>
    <w:rsid w:val="3EBF7B1C"/>
    <w:rsid w:val="3EC13AF4"/>
    <w:rsid w:val="3ECA6D2C"/>
    <w:rsid w:val="3ED225BE"/>
    <w:rsid w:val="3ED9165E"/>
    <w:rsid w:val="3EDA0523"/>
    <w:rsid w:val="3EDB07DA"/>
    <w:rsid w:val="3EDB2CE7"/>
    <w:rsid w:val="3EDC0E79"/>
    <w:rsid w:val="3EE651E8"/>
    <w:rsid w:val="3EEA4CD8"/>
    <w:rsid w:val="3EF37DFC"/>
    <w:rsid w:val="3EF56BB6"/>
    <w:rsid w:val="3F0454FB"/>
    <w:rsid w:val="3F051B12"/>
    <w:rsid w:val="3F06462F"/>
    <w:rsid w:val="3F0729BE"/>
    <w:rsid w:val="3F0833B0"/>
    <w:rsid w:val="3F0A35CC"/>
    <w:rsid w:val="3F105D61"/>
    <w:rsid w:val="3F146B2D"/>
    <w:rsid w:val="3F1A035E"/>
    <w:rsid w:val="3F1F5DA0"/>
    <w:rsid w:val="3F203EFD"/>
    <w:rsid w:val="3F214F2A"/>
    <w:rsid w:val="3F220916"/>
    <w:rsid w:val="3F3117A7"/>
    <w:rsid w:val="3F340649"/>
    <w:rsid w:val="3F3917BB"/>
    <w:rsid w:val="3F3B23F4"/>
    <w:rsid w:val="3F3E4777"/>
    <w:rsid w:val="3F4168C2"/>
    <w:rsid w:val="3F47037C"/>
    <w:rsid w:val="3F49778D"/>
    <w:rsid w:val="3F4D34B9"/>
    <w:rsid w:val="3F586A68"/>
    <w:rsid w:val="3F6A2E3E"/>
    <w:rsid w:val="3F6D048C"/>
    <w:rsid w:val="3F75355D"/>
    <w:rsid w:val="3F794F45"/>
    <w:rsid w:val="3F7A3D25"/>
    <w:rsid w:val="3F7F7A3B"/>
    <w:rsid w:val="3F8C3FE1"/>
    <w:rsid w:val="3F8D2251"/>
    <w:rsid w:val="3F8F5E48"/>
    <w:rsid w:val="3F904866"/>
    <w:rsid w:val="3F9133A5"/>
    <w:rsid w:val="3F93711E"/>
    <w:rsid w:val="3F9609BC"/>
    <w:rsid w:val="3F9670E5"/>
    <w:rsid w:val="3F9865CF"/>
    <w:rsid w:val="3FA82F6E"/>
    <w:rsid w:val="3FAA5EF6"/>
    <w:rsid w:val="3FB2036D"/>
    <w:rsid w:val="3FB5178A"/>
    <w:rsid w:val="3FB8785C"/>
    <w:rsid w:val="3FBA7170"/>
    <w:rsid w:val="3FBF4E83"/>
    <w:rsid w:val="3FC27A03"/>
    <w:rsid w:val="3FC84A37"/>
    <w:rsid w:val="3FC96EB0"/>
    <w:rsid w:val="3FCE0DE9"/>
    <w:rsid w:val="3FCF0BD4"/>
    <w:rsid w:val="3FCF2120"/>
    <w:rsid w:val="3FCF3ECE"/>
    <w:rsid w:val="3FDA4D4C"/>
    <w:rsid w:val="3FDA6FEE"/>
    <w:rsid w:val="3FDD7EB2"/>
    <w:rsid w:val="3FDF2363"/>
    <w:rsid w:val="3FEB52B2"/>
    <w:rsid w:val="3FFE0C7C"/>
    <w:rsid w:val="40061FE5"/>
    <w:rsid w:val="40077B0C"/>
    <w:rsid w:val="400973E0"/>
    <w:rsid w:val="400B13AA"/>
    <w:rsid w:val="400B6D17"/>
    <w:rsid w:val="400C0C7E"/>
    <w:rsid w:val="400D263F"/>
    <w:rsid w:val="4011012E"/>
    <w:rsid w:val="401179F2"/>
    <w:rsid w:val="401B7E09"/>
    <w:rsid w:val="40226BCB"/>
    <w:rsid w:val="40257C3A"/>
    <w:rsid w:val="402D7572"/>
    <w:rsid w:val="402E6E46"/>
    <w:rsid w:val="40316936"/>
    <w:rsid w:val="40330901"/>
    <w:rsid w:val="40376437"/>
    <w:rsid w:val="403B6A73"/>
    <w:rsid w:val="403B6C51"/>
    <w:rsid w:val="40455649"/>
    <w:rsid w:val="40490124"/>
    <w:rsid w:val="405908E6"/>
    <w:rsid w:val="405B7765"/>
    <w:rsid w:val="4060576E"/>
    <w:rsid w:val="406267CD"/>
    <w:rsid w:val="406609E3"/>
    <w:rsid w:val="406665E0"/>
    <w:rsid w:val="40715C95"/>
    <w:rsid w:val="40754A75"/>
    <w:rsid w:val="40793BEA"/>
    <w:rsid w:val="407A6407"/>
    <w:rsid w:val="407F5E9B"/>
    <w:rsid w:val="407F63F1"/>
    <w:rsid w:val="40835C11"/>
    <w:rsid w:val="40871009"/>
    <w:rsid w:val="40871F92"/>
    <w:rsid w:val="408847A8"/>
    <w:rsid w:val="40897C94"/>
    <w:rsid w:val="408C1E9D"/>
    <w:rsid w:val="40987D1B"/>
    <w:rsid w:val="409A7AF7"/>
    <w:rsid w:val="409C64A6"/>
    <w:rsid w:val="409D648D"/>
    <w:rsid w:val="409F7D44"/>
    <w:rsid w:val="40A314B9"/>
    <w:rsid w:val="40A435AC"/>
    <w:rsid w:val="40A8309D"/>
    <w:rsid w:val="40A921C4"/>
    <w:rsid w:val="40AB0497"/>
    <w:rsid w:val="40B01F51"/>
    <w:rsid w:val="40B80197"/>
    <w:rsid w:val="40B90E06"/>
    <w:rsid w:val="40BA6883"/>
    <w:rsid w:val="40C96EF0"/>
    <w:rsid w:val="40CF111A"/>
    <w:rsid w:val="40D05BE0"/>
    <w:rsid w:val="40DB1852"/>
    <w:rsid w:val="40DC2D46"/>
    <w:rsid w:val="40DF6A92"/>
    <w:rsid w:val="40E40264"/>
    <w:rsid w:val="40E90FBF"/>
    <w:rsid w:val="40EA5463"/>
    <w:rsid w:val="40EE4DCE"/>
    <w:rsid w:val="40F0587F"/>
    <w:rsid w:val="40FB3C47"/>
    <w:rsid w:val="40FE2CBD"/>
    <w:rsid w:val="40FE49BF"/>
    <w:rsid w:val="4100026B"/>
    <w:rsid w:val="41006A35"/>
    <w:rsid w:val="41036525"/>
    <w:rsid w:val="4105423F"/>
    <w:rsid w:val="41076015"/>
    <w:rsid w:val="410D1152"/>
    <w:rsid w:val="41106CC6"/>
    <w:rsid w:val="41140732"/>
    <w:rsid w:val="4114789B"/>
    <w:rsid w:val="41186283"/>
    <w:rsid w:val="411912C9"/>
    <w:rsid w:val="411A5DF3"/>
    <w:rsid w:val="411D1605"/>
    <w:rsid w:val="411E3F63"/>
    <w:rsid w:val="41200E85"/>
    <w:rsid w:val="41206955"/>
    <w:rsid w:val="41222049"/>
    <w:rsid w:val="412A2779"/>
    <w:rsid w:val="412F10C8"/>
    <w:rsid w:val="413260C8"/>
    <w:rsid w:val="41340CE7"/>
    <w:rsid w:val="41395AA3"/>
    <w:rsid w:val="413A2DD4"/>
    <w:rsid w:val="413E145E"/>
    <w:rsid w:val="41434B73"/>
    <w:rsid w:val="41466412"/>
    <w:rsid w:val="414A7CB0"/>
    <w:rsid w:val="414B6D1C"/>
    <w:rsid w:val="414C1C7A"/>
    <w:rsid w:val="414F176A"/>
    <w:rsid w:val="415643D0"/>
    <w:rsid w:val="41573B5A"/>
    <w:rsid w:val="415D5C35"/>
    <w:rsid w:val="4162149D"/>
    <w:rsid w:val="41650DF3"/>
    <w:rsid w:val="416601B4"/>
    <w:rsid w:val="4168625C"/>
    <w:rsid w:val="41801923"/>
    <w:rsid w:val="41817FB9"/>
    <w:rsid w:val="4182744A"/>
    <w:rsid w:val="41852113"/>
    <w:rsid w:val="41861622"/>
    <w:rsid w:val="419017C2"/>
    <w:rsid w:val="4194717D"/>
    <w:rsid w:val="41995C63"/>
    <w:rsid w:val="419B7D94"/>
    <w:rsid w:val="419C377B"/>
    <w:rsid w:val="41A02A20"/>
    <w:rsid w:val="41A575DC"/>
    <w:rsid w:val="41B00957"/>
    <w:rsid w:val="41B17D2F"/>
    <w:rsid w:val="41B31CF9"/>
    <w:rsid w:val="41B63EF8"/>
    <w:rsid w:val="41B917FB"/>
    <w:rsid w:val="41C061C4"/>
    <w:rsid w:val="41CF6407"/>
    <w:rsid w:val="41D61543"/>
    <w:rsid w:val="41D67795"/>
    <w:rsid w:val="41D852BC"/>
    <w:rsid w:val="41D96653"/>
    <w:rsid w:val="41DB1127"/>
    <w:rsid w:val="41DC67EC"/>
    <w:rsid w:val="41DD57A1"/>
    <w:rsid w:val="41DE62BF"/>
    <w:rsid w:val="41DE6D58"/>
    <w:rsid w:val="41E530CF"/>
    <w:rsid w:val="41E9571B"/>
    <w:rsid w:val="41E974A9"/>
    <w:rsid w:val="41FC3205"/>
    <w:rsid w:val="41FC55A0"/>
    <w:rsid w:val="4200449D"/>
    <w:rsid w:val="42017194"/>
    <w:rsid w:val="421577E1"/>
    <w:rsid w:val="421844F4"/>
    <w:rsid w:val="42186000"/>
    <w:rsid w:val="421D6850"/>
    <w:rsid w:val="42200C54"/>
    <w:rsid w:val="422624CB"/>
    <w:rsid w:val="422777C5"/>
    <w:rsid w:val="422912CB"/>
    <w:rsid w:val="422E5823"/>
    <w:rsid w:val="423324F9"/>
    <w:rsid w:val="42382BB3"/>
    <w:rsid w:val="423A3BCC"/>
    <w:rsid w:val="423B2286"/>
    <w:rsid w:val="424034F3"/>
    <w:rsid w:val="42404F2E"/>
    <w:rsid w:val="424173CD"/>
    <w:rsid w:val="42426BD9"/>
    <w:rsid w:val="42470693"/>
    <w:rsid w:val="4247199C"/>
    <w:rsid w:val="424E57D2"/>
    <w:rsid w:val="425177C5"/>
    <w:rsid w:val="42566C7E"/>
    <w:rsid w:val="425B4D4D"/>
    <w:rsid w:val="425C2860"/>
    <w:rsid w:val="425E778D"/>
    <w:rsid w:val="427A7683"/>
    <w:rsid w:val="427E44E6"/>
    <w:rsid w:val="427F3F28"/>
    <w:rsid w:val="42862F6A"/>
    <w:rsid w:val="428807D3"/>
    <w:rsid w:val="42932922"/>
    <w:rsid w:val="42935686"/>
    <w:rsid w:val="4295453E"/>
    <w:rsid w:val="42A258CA"/>
    <w:rsid w:val="42A57296"/>
    <w:rsid w:val="42B26C49"/>
    <w:rsid w:val="42B775C7"/>
    <w:rsid w:val="42BA7115"/>
    <w:rsid w:val="42BC0B3E"/>
    <w:rsid w:val="42BE7D53"/>
    <w:rsid w:val="42C10446"/>
    <w:rsid w:val="42C53701"/>
    <w:rsid w:val="42CB6967"/>
    <w:rsid w:val="42CC0B85"/>
    <w:rsid w:val="42D00689"/>
    <w:rsid w:val="42D02437"/>
    <w:rsid w:val="42D53EF1"/>
    <w:rsid w:val="42D55C9F"/>
    <w:rsid w:val="42D71A17"/>
    <w:rsid w:val="42DC002E"/>
    <w:rsid w:val="42DE4B54"/>
    <w:rsid w:val="42E90C12"/>
    <w:rsid w:val="42EB3BFA"/>
    <w:rsid w:val="42F32B61"/>
    <w:rsid w:val="42F36D96"/>
    <w:rsid w:val="42F9001A"/>
    <w:rsid w:val="42F97BDF"/>
    <w:rsid w:val="42FD2B88"/>
    <w:rsid w:val="42FF04CE"/>
    <w:rsid w:val="42FF2D1C"/>
    <w:rsid w:val="4309153A"/>
    <w:rsid w:val="43156472"/>
    <w:rsid w:val="431A7B56"/>
    <w:rsid w:val="431C567C"/>
    <w:rsid w:val="43291499"/>
    <w:rsid w:val="432B1D63"/>
    <w:rsid w:val="432D493C"/>
    <w:rsid w:val="43302ED5"/>
    <w:rsid w:val="433169EA"/>
    <w:rsid w:val="43362BE2"/>
    <w:rsid w:val="433721AB"/>
    <w:rsid w:val="433867EA"/>
    <w:rsid w:val="433A6FE6"/>
    <w:rsid w:val="433B4B0C"/>
    <w:rsid w:val="433C5946"/>
    <w:rsid w:val="43424323"/>
    <w:rsid w:val="43454BD3"/>
    <w:rsid w:val="43476B9D"/>
    <w:rsid w:val="4348021F"/>
    <w:rsid w:val="43480868"/>
    <w:rsid w:val="43483E86"/>
    <w:rsid w:val="4350713C"/>
    <w:rsid w:val="43543068"/>
    <w:rsid w:val="43544906"/>
    <w:rsid w:val="43560B8E"/>
    <w:rsid w:val="435C3154"/>
    <w:rsid w:val="435E3EE6"/>
    <w:rsid w:val="43634675"/>
    <w:rsid w:val="43650DD1"/>
    <w:rsid w:val="436653E0"/>
    <w:rsid w:val="43696451"/>
    <w:rsid w:val="436B5C10"/>
    <w:rsid w:val="436B7322"/>
    <w:rsid w:val="436E5739"/>
    <w:rsid w:val="43741014"/>
    <w:rsid w:val="4374370A"/>
    <w:rsid w:val="43750F2B"/>
    <w:rsid w:val="437758E0"/>
    <w:rsid w:val="43811983"/>
    <w:rsid w:val="438456CD"/>
    <w:rsid w:val="43855488"/>
    <w:rsid w:val="4392593E"/>
    <w:rsid w:val="439438AA"/>
    <w:rsid w:val="439461BD"/>
    <w:rsid w:val="439711A6"/>
    <w:rsid w:val="439766B8"/>
    <w:rsid w:val="439873F8"/>
    <w:rsid w:val="439A7BC0"/>
    <w:rsid w:val="439B1CB6"/>
    <w:rsid w:val="439C0BAE"/>
    <w:rsid w:val="43A23DD3"/>
    <w:rsid w:val="43AB7BD8"/>
    <w:rsid w:val="43AC4C52"/>
    <w:rsid w:val="43B22C20"/>
    <w:rsid w:val="43B37091"/>
    <w:rsid w:val="43B6261F"/>
    <w:rsid w:val="43B73CDB"/>
    <w:rsid w:val="43BD7F51"/>
    <w:rsid w:val="43BE1053"/>
    <w:rsid w:val="43BF7346"/>
    <w:rsid w:val="43C318BF"/>
    <w:rsid w:val="43C33809"/>
    <w:rsid w:val="43C4431A"/>
    <w:rsid w:val="43CA4D4F"/>
    <w:rsid w:val="43CC70A2"/>
    <w:rsid w:val="43CD4BC8"/>
    <w:rsid w:val="43D73E93"/>
    <w:rsid w:val="43D85A47"/>
    <w:rsid w:val="43D85DD8"/>
    <w:rsid w:val="43DE4485"/>
    <w:rsid w:val="43DE6DD5"/>
    <w:rsid w:val="43E45197"/>
    <w:rsid w:val="43E67878"/>
    <w:rsid w:val="43EB5803"/>
    <w:rsid w:val="43EC504E"/>
    <w:rsid w:val="43ED183D"/>
    <w:rsid w:val="43F07E52"/>
    <w:rsid w:val="43F5781C"/>
    <w:rsid w:val="43F63B87"/>
    <w:rsid w:val="43FB3129"/>
    <w:rsid w:val="43FB7987"/>
    <w:rsid w:val="43FE4446"/>
    <w:rsid w:val="44005FA5"/>
    <w:rsid w:val="440419F3"/>
    <w:rsid w:val="44042EE8"/>
    <w:rsid w:val="44044A8E"/>
    <w:rsid w:val="4406131F"/>
    <w:rsid w:val="44106D5E"/>
    <w:rsid w:val="44153672"/>
    <w:rsid w:val="44184095"/>
    <w:rsid w:val="4419465E"/>
    <w:rsid w:val="441A1ED8"/>
    <w:rsid w:val="441B3B85"/>
    <w:rsid w:val="442073EE"/>
    <w:rsid w:val="442A2261"/>
    <w:rsid w:val="4436451B"/>
    <w:rsid w:val="44391747"/>
    <w:rsid w:val="44424DAC"/>
    <w:rsid w:val="444E5D09"/>
    <w:rsid w:val="444E7AB7"/>
    <w:rsid w:val="4450512E"/>
    <w:rsid w:val="44585C19"/>
    <w:rsid w:val="445A645C"/>
    <w:rsid w:val="445D5F4C"/>
    <w:rsid w:val="4463366A"/>
    <w:rsid w:val="4469669F"/>
    <w:rsid w:val="446B638C"/>
    <w:rsid w:val="446E0AB0"/>
    <w:rsid w:val="44705C7F"/>
    <w:rsid w:val="44727C49"/>
    <w:rsid w:val="44735770"/>
    <w:rsid w:val="44765B13"/>
    <w:rsid w:val="447E222D"/>
    <w:rsid w:val="448434D9"/>
    <w:rsid w:val="448C6831"/>
    <w:rsid w:val="448D32FF"/>
    <w:rsid w:val="4496320C"/>
    <w:rsid w:val="449A0F4E"/>
    <w:rsid w:val="449C15EE"/>
    <w:rsid w:val="449D0A3E"/>
    <w:rsid w:val="44A678F3"/>
    <w:rsid w:val="44A67DB2"/>
    <w:rsid w:val="44A877A0"/>
    <w:rsid w:val="44A967D6"/>
    <w:rsid w:val="44AB6CB7"/>
    <w:rsid w:val="44AE0556"/>
    <w:rsid w:val="44AE6817"/>
    <w:rsid w:val="44B07546"/>
    <w:rsid w:val="44B10046"/>
    <w:rsid w:val="44B951CC"/>
    <w:rsid w:val="44BC4CA7"/>
    <w:rsid w:val="44C41B7D"/>
    <w:rsid w:val="44C510CF"/>
    <w:rsid w:val="44C60DE6"/>
    <w:rsid w:val="44CC6C2E"/>
    <w:rsid w:val="44CD14E0"/>
    <w:rsid w:val="44CE29A6"/>
    <w:rsid w:val="44D02BC2"/>
    <w:rsid w:val="44D274B5"/>
    <w:rsid w:val="44D81A76"/>
    <w:rsid w:val="44DB7445"/>
    <w:rsid w:val="44DE7B52"/>
    <w:rsid w:val="44E71F66"/>
    <w:rsid w:val="44EB79FC"/>
    <w:rsid w:val="44EC1B24"/>
    <w:rsid w:val="44F170C6"/>
    <w:rsid w:val="44F20B0B"/>
    <w:rsid w:val="44F35109"/>
    <w:rsid w:val="44FA7C3F"/>
    <w:rsid w:val="44FD2D7B"/>
    <w:rsid w:val="44FE6DAF"/>
    <w:rsid w:val="44FF3FDE"/>
    <w:rsid w:val="45055CF2"/>
    <w:rsid w:val="4507076A"/>
    <w:rsid w:val="450862C5"/>
    <w:rsid w:val="450B5747"/>
    <w:rsid w:val="450E5498"/>
    <w:rsid w:val="450F0221"/>
    <w:rsid w:val="4511547C"/>
    <w:rsid w:val="451A50B3"/>
    <w:rsid w:val="451C4F8C"/>
    <w:rsid w:val="45264590"/>
    <w:rsid w:val="452E5F4C"/>
    <w:rsid w:val="453135F5"/>
    <w:rsid w:val="45335887"/>
    <w:rsid w:val="45350C77"/>
    <w:rsid w:val="45392515"/>
    <w:rsid w:val="453B25D7"/>
    <w:rsid w:val="453C0257"/>
    <w:rsid w:val="453E39DD"/>
    <w:rsid w:val="45435142"/>
    <w:rsid w:val="4550785F"/>
    <w:rsid w:val="455E3D2A"/>
    <w:rsid w:val="45612018"/>
    <w:rsid w:val="4561681B"/>
    <w:rsid w:val="45620E17"/>
    <w:rsid w:val="45641BD8"/>
    <w:rsid w:val="456450B8"/>
    <w:rsid w:val="45655845"/>
    <w:rsid w:val="456B6447"/>
    <w:rsid w:val="456D6663"/>
    <w:rsid w:val="456F23DB"/>
    <w:rsid w:val="456F4189"/>
    <w:rsid w:val="457029FE"/>
    <w:rsid w:val="457102F0"/>
    <w:rsid w:val="45716C5C"/>
    <w:rsid w:val="457176F9"/>
    <w:rsid w:val="45717F01"/>
    <w:rsid w:val="45724054"/>
    <w:rsid w:val="45767486"/>
    <w:rsid w:val="45790B64"/>
    <w:rsid w:val="45795008"/>
    <w:rsid w:val="457B2B2E"/>
    <w:rsid w:val="457D3684"/>
    <w:rsid w:val="45801494"/>
    <w:rsid w:val="45825B38"/>
    <w:rsid w:val="45835E86"/>
    <w:rsid w:val="45876549"/>
    <w:rsid w:val="458946E9"/>
    <w:rsid w:val="458A4B1F"/>
    <w:rsid w:val="45934823"/>
    <w:rsid w:val="45967968"/>
    <w:rsid w:val="459736E0"/>
    <w:rsid w:val="45987BF7"/>
    <w:rsid w:val="45997458"/>
    <w:rsid w:val="459A3F8A"/>
    <w:rsid w:val="45A40651"/>
    <w:rsid w:val="45A47C0E"/>
    <w:rsid w:val="45B20519"/>
    <w:rsid w:val="45B33934"/>
    <w:rsid w:val="45BB117C"/>
    <w:rsid w:val="45BD0FF5"/>
    <w:rsid w:val="45BF33C7"/>
    <w:rsid w:val="45C02C36"/>
    <w:rsid w:val="45CA5863"/>
    <w:rsid w:val="45CC785F"/>
    <w:rsid w:val="45D64208"/>
    <w:rsid w:val="45D65FB6"/>
    <w:rsid w:val="45D822F8"/>
    <w:rsid w:val="45D95AA6"/>
    <w:rsid w:val="45D96965"/>
    <w:rsid w:val="45DD7344"/>
    <w:rsid w:val="45E06E35"/>
    <w:rsid w:val="45E2495B"/>
    <w:rsid w:val="45E73FCE"/>
    <w:rsid w:val="45EA7CB3"/>
    <w:rsid w:val="45F132E4"/>
    <w:rsid w:val="45F27B9E"/>
    <w:rsid w:val="45F428E0"/>
    <w:rsid w:val="45F5160D"/>
    <w:rsid w:val="45F91CA4"/>
    <w:rsid w:val="45F94EA0"/>
    <w:rsid w:val="460074D7"/>
    <w:rsid w:val="46043DCF"/>
    <w:rsid w:val="46050649"/>
    <w:rsid w:val="460639CB"/>
    <w:rsid w:val="46075DC5"/>
    <w:rsid w:val="460A6E00"/>
    <w:rsid w:val="460F0DBF"/>
    <w:rsid w:val="460F14C8"/>
    <w:rsid w:val="46113314"/>
    <w:rsid w:val="4618037D"/>
    <w:rsid w:val="461A605E"/>
    <w:rsid w:val="461B7E6D"/>
    <w:rsid w:val="461F178B"/>
    <w:rsid w:val="46284338"/>
    <w:rsid w:val="462C5BD6"/>
    <w:rsid w:val="462D2AFF"/>
    <w:rsid w:val="4631143E"/>
    <w:rsid w:val="463D1F3E"/>
    <w:rsid w:val="46425296"/>
    <w:rsid w:val="46447C70"/>
    <w:rsid w:val="464651C9"/>
    <w:rsid w:val="46471C94"/>
    <w:rsid w:val="46474506"/>
    <w:rsid w:val="464D7120"/>
    <w:rsid w:val="464E104B"/>
    <w:rsid w:val="464F7B16"/>
    <w:rsid w:val="46511AE0"/>
    <w:rsid w:val="46577FD6"/>
    <w:rsid w:val="465D66D7"/>
    <w:rsid w:val="46601FAD"/>
    <w:rsid w:val="46631B9C"/>
    <w:rsid w:val="46674E60"/>
    <w:rsid w:val="46690740"/>
    <w:rsid w:val="46696E2A"/>
    <w:rsid w:val="466A1281"/>
    <w:rsid w:val="466A4950"/>
    <w:rsid w:val="466C06C8"/>
    <w:rsid w:val="466D40DF"/>
    <w:rsid w:val="467248DA"/>
    <w:rsid w:val="467852BF"/>
    <w:rsid w:val="467A1037"/>
    <w:rsid w:val="467B20E5"/>
    <w:rsid w:val="467E0A66"/>
    <w:rsid w:val="46831CD9"/>
    <w:rsid w:val="46963997"/>
    <w:rsid w:val="469814BD"/>
    <w:rsid w:val="46A47E62"/>
    <w:rsid w:val="46A87156"/>
    <w:rsid w:val="46AD4F74"/>
    <w:rsid w:val="46AE3BC0"/>
    <w:rsid w:val="46AF05B5"/>
    <w:rsid w:val="46B1257F"/>
    <w:rsid w:val="46B362F7"/>
    <w:rsid w:val="46B51498"/>
    <w:rsid w:val="46C34EFB"/>
    <w:rsid w:val="46C36E97"/>
    <w:rsid w:val="46C502B5"/>
    <w:rsid w:val="46C7044E"/>
    <w:rsid w:val="46D53BDF"/>
    <w:rsid w:val="46D5626E"/>
    <w:rsid w:val="46D955A7"/>
    <w:rsid w:val="46DB3B06"/>
    <w:rsid w:val="46DB79CE"/>
    <w:rsid w:val="46DC75FC"/>
    <w:rsid w:val="46E22739"/>
    <w:rsid w:val="46E464B1"/>
    <w:rsid w:val="46EC6145"/>
    <w:rsid w:val="46EE5B21"/>
    <w:rsid w:val="46EF2A0F"/>
    <w:rsid w:val="46EF319A"/>
    <w:rsid w:val="46F32B98"/>
    <w:rsid w:val="46F661E4"/>
    <w:rsid w:val="46F801AE"/>
    <w:rsid w:val="46FA3F26"/>
    <w:rsid w:val="4704148B"/>
    <w:rsid w:val="470B1E18"/>
    <w:rsid w:val="471072A6"/>
    <w:rsid w:val="471251C3"/>
    <w:rsid w:val="47133957"/>
    <w:rsid w:val="47134FE8"/>
    <w:rsid w:val="47170634"/>
    <w:rsid w:val="471A45C8"/>
    <w:rsid w:val="471F573B"/>
    <w:rsid w:val="47215C03"/>
    <w:rsid w:val="472745EF"/>
    <w:rsid w:val="47322E46"/>
    <w:rsid w:val="47365EB3"/>
    <w:rsid w:val="473867FC"/>
    <w:rsid w:val="473C308A"/>
    <w:rsid w:val="47421A42"/>
    <w:rsid w:val="47490A0A"/>
    <w:rsid w:val="474965C4"/>
    <w:rsid w:val="475A49C5"/>
    <w:rsid w:val="475C7306"/>
    <w:rsid w:val="475E7E09"/>
    <w:rsid w:val="475F15EE"/>
    <w:rsid w:val="47627C1A"/>
    <w:rsid w:val="47707C60"/>
    <w:rsid w:val="4771705C"/>
    <w:rsid w:val="47727F60"/>
    <w:rsid w:val="477611BD"/>
    <w:rsid w:val="47772C99"/>
    <w:rsid w:val="477D1FD8"/>
    <w:rsid w:val="47866C1C"/>
    <w:rsid w:val="4792415F"/>
    <w:rsid w:val="47953C4F"/>
    <w:rsid w:val="479B4537"/>
    <w:rsid w:val="47A065D8"/>
    <w:rsid w:val="47A07E0C"/>
    <w:rsid w:val="47A30E15"/>
    <w:rsid w:val="47A619B8"/>
    <w:rsid w:val="47AD71EA"/>
    <w:rsid w:val="47B95B8F"/>
    <w:rsid w:val="47BF006E"/>
    <w:rsid w:val="47C307BC"/>
    <w:rsid w:val="47C61BEA"/>
    <w:rsid w:val="47C750BC"/>
    <w:rsid w:val="47CB0DD4"/>
    <w:rsid w:val="47CF6BC5"/>
    <w:rsid w:val="47D227AD"/>
    <w:rsid w:val="47D2796C"/>
    <w:rsid w:val="47D52880"/>
    <w:rsid w:val="47ED5004"/>
    <w:rsid w:val="47F20966"/>
    <w:rsid w:val="47F20FBC"/>
    <w:rsid w:val="47F22E4F"/>
    <w:rsid w:val="47FB3ECB"/>
    <w:rsid w:val="47FD3CA8"/>
    <w:rsid w:val="48024A49"/>
    <w:rsid w:val="48030E30"/>
    <w:rsid w:val="4806264F"/>
    <w:rsid w:val="480706A9"/>
    <w:rsid w:val="480A1F47"/>
    <w:rsid w:val="480C0E60"/>
    <w:rsid w:val="480D34F3"/>
    <w:rsid w:val="48107E1B"/>
    <w:rsid w:val="4811293B"/>
    <w:rsid w:val="481728B6"/>
    <w:rsid w:val="481C6B5B"/>
    <w:rsid w:val="48211144"/>
    <w:rsid w:val="48233009"/>
    <w:rsid w:val="482D3E87"/>
    <w:rsid w:val="4831454F"/>
    <w:rsid w:val="48315726"/>
    <w:rsid w:val="483259FD"/>
    <w:rsid w:val="483671E0"/>
    <w:rsid w:val="48384E52"/>
    <w:rsid w:val="48390A7E"/>
    <w:rsid w:val="483F73B5"/>
    <w:rsid w:val="4840005F"/>
    <w:rsid w:val="484216E1"/>
    <w:rsid w:val="4843326B"/>
    <w:rsid w:val="48457423"/>
    <w:rsid w:val="48466E34"/>
    <w:rsid w:val="484865D2"/>
    <w:rsid w:val="484A0842"/>
    <w:rsid w:val="485052AE"/>
    <w:rsid w:val="485D651B"/>
    <w:rsid w:val="48646D25"/>
    <w:rsid w:val="486755EB"/>
    <w:rsid w:val="4870272E"/>
    <w:rsid w:val="48743864"/>
    <w:rsid w:val="48766FC9"/>
    <w:rsid w:val="48787751"/>
    <w:rsid w:val="487A1AE3"/>
    <w:rsid w:val="487E2505"/>
    <w:rsid w:val="48825F81"/>
    <w:rsid w:val="48880D4A"/>
    <w:rsid w:val="48882CEE"/>
    <w:rsid w:val="488937B4"/>
    <w:rsid w:val="48895562"/>
    <w:rsid w:val="488F5539"/>
    <w:rsid w:val="48983ECA"/>
    <w:rsid w:val="489A151D"/>
    <w:rsid w:val="489F6C43"/>
    <w:rsid w:val="48A4239B"/>
    <w:rsid w:val="48AC74A2"/>
    <w:rsid w:val="48B14F71"/>
    <w:rsid w:val="48B63E7D"/>
    <w:rsid w:val="48B84099"/>
    <w:rsid w:val="48C540C0"/>
    <w:rsid w:val="48C63C48"/>
    <w:rsid w:val="48C7608A"/>
    <w:rsid w:val="48C818EA"/>
    <w:rsid w:val="48D662CD"/>
    <w:rsid w:val="48D82045"/>
    <w:rsid w:val="48DA7B6B"/>
    <w:rsid w:val="48DD765B"/>
    <w:rsid w:val="48DF5182"/>
    <w:rsid w:val="48E21116"/>
    <w:rsid w:val="48E30840"/>
    <w:rsid w:val="48F95143"/>
    <w:rsid w:val="48FA2B50"/>
    <w:rsid w:val="49060960"/>
    <w:rsid w:val="49093641"/>
    <w:rsid w:val="490948F4"/>
    <w:rsid w:val="490C29CD"/>
    <w:rsid w:val="491017DF"/>
    <w:rsid w:val="491E0B8E"/>
    <w:rsid w:val="49200952"/>
    <w:rsid w:val="4922704D"/>
    <w:rsid w:val="49283440"/>
    <w:rsid w:val="49290AF3"/>
    <w:rsid w:val="492E7EB7"/>
    <w:rsid w:val="4931270A"/>
    <w:rsid w:val="49320280"/>
    <w:rsid w:val="49380D36"/>
    <w:rsid w:val="493A4AAE"/>
    <w:rsid w:val="49417BEA"/>
    <w:rsid w:val="49461C42"/>
    <w:rsid w:val="494B0A69"/>
    <w:rsid w:val="49583186"/>
    <w:rsid w:val="49584079"/>
    <w:rsid w:val="495927D4"/>
    <w:rsid w:val="495A5150"/>
    <w:rsid w:val="495B0598"/>
    <w:rsid w:val="495B132C"/>
    <w:rsid w:val="495B21DD"/>
    <w:rsid w:val="49646021"/>
    <w:rsid w:val="496B4C67"/>
    <w:rsid w:val="4970227E"/>
    <w:rsid w:val="49706721"/>
    <w:rsid w:val="49753687"/>
    <w:rsid w:val="497E0E3E"/>
    <w:rsid w:val="497F0713"/>
    <w:rsid w:val="49836455"/>
    <w:rsid w:val="49845D29"/>
    <w:rsid w:val="498C2A39"/>
    <w:rsid w:val="498C7B7B"/>
    <w:rsid w:val="499107CF"/>
    <w:rsid w:val="49940662"/>
    <w:rsid w:val="49961747"/>
    <w:rsid w:val="49974CAD"/>
    <w:rsid w:val="49A44FE3"/>
    <w:rsid w:val="49AC1EAA"/>
    <w:rsid w:val="49AD1724"/>
    <w:rsid w:val="49B854C9"/>
    <w:rsid w:val="49BB5BEF"/>
    <w:rsid w:val="49BD239A"/>
    <w:rsid w:val="49BE123B"/>
    <w:rsid w:val="49C14517"/>
    <w:rsid w:val="49C845F7"/>
    <w:rsid w:val="49CB183A"/>
    <w:rsid w:val="49CF3448"/>
    <w:rsid w:val="49D92519"/>
    <w:rsid w:val="49DC3DB7"/>
    <w:rsid w:val="49DC7715"/>
    <w:rsid w:val="49DC7FA8"/>
    <w:rsid w:val="49E75510"/>
    <w:rsid w:val="49EA0282"/>
    <w:rsid w:val="49ED7D72"/>
    <w:rsid w:val="49F171F8"/>
    <w:rsid w:val="49F2635D"/>
    <w:rsid w:val="49F34F94"/>
    <w:rsid w:val="49F64E79"/>
    <w:rsid w:val="49F65CD1"/>
    <w:rsid w:val="49FA5FEB"/>
    <w:rsid w:val="4A002FC3"/>
    <w:rsid w:val="4A023139"/>
    <w:rsid w:val="4A0330F2"/>
    <w:rsid w:val="4A077ABF"/>
    <w:rsid w:val="4A084BAC"/>
    <w:rsid w:val="4A0E3EA2"/>
    <w:rsid w:val="4A0F39E7"/>
    <w:rsid w:val="4A104207"/>
    <w:rsid w:val="4A153686"/>
    <w:rsid w:val="4A1B064E"/>
    <w:rsid w:val="4A231B57"/>
    <w:rsid w:val="4A283A2A"/>
    <w:rsid w:val="4A2A4B22"/>
    <w:rsid w:val="4A2D478B"/>
    <w:rsid w:val="4A30678E"/>
    <w:rsid w:val="4A3178E7"/>
    <w:rsid w:val="4A363DF7"/>
    <w:rsid w:val="4A390FA2"/>
    <w:rsid w:val="4A45195C"/>
    <w:rsid w:val="4A484FA8"/>
    <w:rsid w:val="4A4F27DB"/>
    <w:rsid w:val="4A4F4589"/>
    <w:rsid w:val="4A507745"/>
    <w:rsid w:val="4A531B36"/>
    <w:rsid w:val="4A5E3FF2"/>
    <w:rsid w:val="4A62606A"/>
    <w:rsid w:val="4A6C513B"/>
    <w:rsid w:val="4A6F69D9"/>
    <w:rsid w:val="4A783AE0"/>
    <w:rsid w:val="4A7B576F"/>
    <w:rsid w:val="4A834233"/>
    <w:rsid w:val="4A835FE1"/>
    <w:rsid w:val="4A837617"/>
    <w:rsid w:val="4A843E7E"/>
    <w:rsid w:val="4A87327F"/>
    <w:rsid w:val="4A8C7469"/>
    <w:rsid w:val="4A8F0E29"/>
    <w:rsid w:val="4A924726"/>
    <w:rsid w:val="4A9A4826"/>
    <w:rsid w:val="4A9D1BCD"/>
    <w:rsid w:val="4A9D468B"/>
    <w:rsid w:val="4A9E5E94"/>
    <w:rsid w:val="4AA04DE4"/>
    <w:rsid w:val="4AA06B93"/>
    <w:rsid w:val="4AA46683"/>
    <w:rsid w:val="4AAE0160"/>
    <w:rsid w:val="4AAF6DD6"/>
    <w:rsid w:val="4AB37EA8"/>
    <w:rsid w:val="4AB97C54"/>
    <w:rsid w:val="4ABD2242"/>
    <w:rsid w:val="4ABE6B98"/>
    <w:rsid w:val="4AC24D5B"/>
    <w:rsid w:val="4AC2710C"/>
    <w:rsid w:val="4AC62A9D"/>
    <w:rsid w:val="4ADF3B5F"/>
    <w:rsid w:val="4AE05CA3"/>
    <w:rsid w:val="4AE66C9B"/>
    <w:rsid w:val="4AE747C1"/>
    <w:rsid w:val="4AF018C8"/>
    <w:rsid w:val="4AF42423"/>
    <w:rsid w:val="4AF561A9"/>
    <w:rsid w:val="4AF75C47"/>
    <w:rsid w:val="4AF869CF"/>
    <w:rsid w:val="4B08477A"/>
    <w:rsid w:val="4B090BDC"/>
    <w:rsid w:val="4B101B9E"/>
    <w:rsid w:val="4B103D18"/>
    <w:rsid w:val="4B127A52"/>
    <w:rsid w:val="4B1A3A4B"/>
    <w:rsid w:val="4B1C090F"/>
    <w:rsid w:val="4B1F6935"/>
    <w:rsid w:val="4B265F54"/>
    <w:rsid w:val="4B29302C"/>
    <w:rsid w:val="4B2B5001"/>
    <w:rsid w:val="4B2E24D4"/>
    <w:rsid w:val="4B307F16"/>
    <w:rsid w:val="4B315A3D"/>
    <w:rsid w:val="4B352101"/>
    <w:rsid w:val="4B3A3AFF"/>
    <w:rsid w:val="4B3C2D5F"/>
    <w:rsid w:val="4B3F15CE"/>
    <w:rsid w:val="4B3F510C"/>
    <w:rsid w:val="4B4418E1"/>
    <w:rsid w:val="4B4A1C1E"/>
    <w:rsid w:val="4B4B2FA2"/>
    <w:rsid w:val="4B5736F5"/>
    <w:rsid w:val="4B591C6B"/>
    <w:rsid w:val="4B5B113B"/>
    <w:rsid w:val="4B5C0D0B"/>
    <w:rsid w:val="4B5D2CD5"/>
    <w:rsid w:val="4B68071D"/>
    <w:rsid w:val="4B692C1A"/>
    <w:rsid w:val="4B6978CC"/>
    <w:rsid w:val="4B6B47DF"/>
    <w:rsid w:val="4B6D570B"/>
    <w:rsid w:val="4B6D71B2"/>
    <w:rsid w:val="4B6F3987"/>
    <w:rsid w:val="4B7122DD"/>
    <w:rsid w:val="4B741103"/>
    <w:rsid w:val="4B7A64BC"/>
    <w:rsid w:val="4B810772"/>
    <w:rsid w:val="4B837D17"/>
    <w:rsid w:val="4B840262"/>
    <w:rsid w:val="4B842010"/>
    <w:rsid w:val="4B8529A6"/>
    <w:rsid w:val="4B885FA4"/>
    <w:rsid w:val="4B901B37"/>
    <w:rsid w:val="4B992E04"/>
    <w:rsid w:val="4B994DEF"/>
    <w:rsid w:val="4B9B0AAB"/>
    <w:rsid w:val="4BA77E1E"/>
    <w:rsid w:val="4BAE52DF"/>
    <w:rsid w:val="4BB23021"/>
    <w:rsid w:val="4BB26B7D"/>
    <w:rsid w:val="4BB40B47"/>
    <w:rsid w:val="4BB5511B"/>
    <w:rsid w:val="4BBC29B0"/>
    <w:rsid w:val="4BC04D8E"/>
    <w:rsid w:val="4BC13264"/>
    <w:rsid w:val="4BE019C1"/>
    <w:rsid w:val="4BE60F1D"/>
    <w:rsid w:val="4BE70182"/>
    <w:rsid w:val="4BE807F1"/>
    <w:rsid w:val="4BEB20C7"/>
    <w:rsid w:val="4BEE4070"/>
    <w:rsid w:val="4BF000C5"/>
    <w:rsid w:val="4BF54CBC"/>
    <w:rsid w:val="4BF70A34"/>
    <w:rsid w:val="4BFA20C2"/>
    <w:rsid w:val="4C03562B"/>
    <w:rsid w:val="4C035FF6"/>
    <w:rsid w:val="4C0F3FD0"/>
    <w:rsid w:val="4C115F9A"/>
    <w:rsid w:val="4C147838"/>
    <w:rsid w:val="4C1503D5"/>
    <w:rsid w:val="4C1A4723"/>
    <w:rsid w:val="4C1C66ED"/>
    <w:rsid w:val="4C2205BB"/>
    <w:rsid w:val="4C2832E3"/>
    <w:rsid w:val="4C29081F"/>
    <w:rsid w:val="4C3078F4"/>
    <w:rsid w:val="4C386C8D"/>
    <w:rsid w:val="4C3E5B31"/>
    <w:rsid w:val="4C3F29E6"/>
    <w:rsid w:val="4C4243A5"/>
    <w:rsid w:val="4C4719BC"/>
    <w:rsid w:val="4C4A0649"/>
    <w:rsid w:val="4C51283A"/>
    <w:rsid w:val="4C52210E"/>
    <w:rsid w:val="4C523EBC"/>
    <w:rsid w:val="4C5254C5"/>
    <w:rsid w:val="4C547C35"/>
    <w:rsid w:val="4C561281"/>
    <w:rsid w:val="4C577725"/>
    <w:rsid w:val="4C5E4F57"/>
    <w:rsid w:val="4C60482B"/>
    <w:rsid w:val="4C621D61"/>
    <w:rsid w:val="4C63256E"/>
    <w:rsid w:val="4C6562E6"/>
    <w:rsid w:val="4C6963D4"/>
    <w:rsid w:val="4C716A38"/>
    <w:rsid w:val="4C7A22CE"/>
    <w:rsid w:val="4C7B1665"/>
    <w:rsid w:val="4C7D362F"/>
    <w:rsid w:val="4C7E2F03"/>
    <w:rsid w:val="4C7E5ECA"/>
    <w:rsid w:val="4C821E99"/>
    <w:rsid w:val="4C876AA5"/>
    <w:rsid w:val="4C935770"/>
    <w:rsid w:val="4C935DA3"/>
    <w:rsid w:val="4C96024D"/>
    <w:rsid w:val="4C9B5863"/>
    <w:rsid w:val="4C9C4486"/>
    <w:rsid w:val="4C9E7102"/>
    <w:rsid w:val="4CA46E0E"/>
    <w:rsid w:val="4CA6069E"/>
    <w:rsid w:val="4CA74208"/>
    <w:rsid w:val="4CA7772A"/>
    <w:rsid w:val="4CA80F6A"/>
    <w:rsid w:val="4CAD0BB5"/>
    <w:rsid w:val="4CAD4005"/>
    <w:rsid w:val="4CAE37E9"/>
    <w:rsid w:val="4CB01AD9"/>
    <w:rsid w:val="4CB1000B"/>
    <w:rsid w:val="4CB11BCB"/>
    <w:rsid w:val="4CC0225D"/>
    <w:rsid w:val="4CC669AF"/>
    <w:rsid w:val="4CC76658"/>
    <w:rsid w:val="4CCA439B"/>
    <w:rsid w:val="4CCA7CB5"/>
    <w:rsid w:val="4CCC1EC1"/>
    <w:rsid w:val="4CCC5E39"/>
    <w:rsid w:val="4CCE3E8B"/>
    <w:rsid w:val="4CCE5C39"/>
    <w:rsid w:val="4CD36B70"/>
    <w:rsid w:val="4CDC6792"/>
    <w:rsid w:val="4CDD40CE"/>
    <w:rsid w:val="4CE251D5"/>
    <w:rsid w:val="4CE30FB8"/>
    <w:rsid w:val="4CE313DC"/>
    <w:rsid w:val="4CE77990"/>
    <w:rsid w:val="4CED51D5"/>
    <w:rsid w:val="4CEE19AB"/>
    <w:rsid w:val="4CEE1E37"/>
    <w:rsid w:val="4CF11927"/>
    <w:rsid w:val="4CF44A19"/>
    <w:rsid w:val="4CF513A0"/>
    <w:rsid w:val="4CF5766A"/>
    <w:rsid w:val="4CFB6302"/>
    <w:rsid w:val="4CFD207A"/>
    <w:rsid w:val="4CFF4044"/>
    <w:rsid w:val="4D023B34"/>
    <w:rsid w:val="4D07739D"/>
    <w:rsid w:val="4D090A1F"/>
    <w:rsid w:val="4D094EAC"/>
    <w:rsid w:val="4D0A544B"/>
    <w:rsid w:val="4D0B1ED4"/>
    <w:rsid w:val="4D0C050F"/>
    <w:rsid w:val="4D0E00FB"/>
    <w:rsid w:val="4D176606"/>
    <w:rsid w:val="4D1A0E7E"/>
    <w:rsid w:val="4D1F46E6"/>
    <w:rsid w:val="4D2260A2"/>
    <w:rsid w:val="4D233AF8"/>
    <w:rsid w:val="4D2648A1"/>
    <w:rsid w:val="4D292E6F"/>
    <w:rsid w:val="4D2C1A4D"/>
    <w:rsid w:val="4D2C4E5B"/>
    <w:rsid w:val="4D323576"/>
    <w:rsid w:val="4D3B0067"/>
    <w:rsid w:val="4D3C194D"/>
    <w:rsid w:val="4D3F6B37"/>
    <w:rsid w:val="4D41465D"/>
    <w:rsid w:val="4D4419A1"/>
    <w:rsid w:val="4D4509E5"/>
    <w:rsid w:val="4D4C612C"/>
    <w:rsid w:val="4D5037ED"/>
    <w:rsid w:val="4D52686A"/>
    <w:rsid w:val="4D5C1497"/>
    <w:rsid w:val="4D626317"/>
    <w:rsid w:val="4D63648B"/>
    <w:rsid w:val="4D706CF0"/>
    <w:rsid w:val="4D776DA4"/>
    <w:rsid w:val="4D7A7B6F"/>
    <w:rsid w:val="4D812CA4"/>
    <w:rsid w:val="4D8207D1"/>
    <w:rsid w:val="4D832852"/>
    <w:rsid w:val="4D882A98"/>
    <w:rsid w:val="4D8E10B5"/>
    <w:rsid w:val="4D9458E8"/>
    <w:rsid w:val="4D9A5B1B"/>
    <w:rsid w:val="4D9B2E74"/>
    <w:rsid w:val="4D9C4A24"/>
    <w:rsid w:val="4DA70B7F"/>
    <w:rsid w:val="4DAD3AA0"/>
    <w:rsid w:val="4DB017E2"/>
    <w:rsid w:val="4DB20B35"/>
    <w:rsid w:val="4DB91B27"/>
    <w:rsid w:val="4DBA7F6B"/>
    <w:rsid w:val="4DBB0C27"/>
    <w:rsid w:val="4DBC1F35"/>
    <w:rsid w:val="4DBE3EFF"/>
    <w:rsid w:val="4DC62DB4"/>
    <w:rsid w:val="4DCF7EBB"/>
    <w:rsid w:val="4DD252B5"/>
    <w:rsid w:val="4DD94895"/>
    <w:rsid w:val="4DDA685F"/>
    <w:rsid w:val="4DDA7F5C"/>
    <w:rsid w:val="4DDE110F"/>
    <w:rsid w:val="4DDF5C24"/>
    <w:rsid w:val="4DE33966"/>
    <w:rsid w:val="4DEC4561"/>
    <w:rsid w:val="4DEC4FB0"/>
    <w:rsid w:val="4DED0E5A"/>
    <w:rsid w:val="4DED38FD"/>
    <w:rsid w:val="4DF06083"/>
    <w:rsid w:val="4DF52447"/>
    <w:rsid w:val="4E0062C6"/>
    <w:rsid w:val="4E047438"/>
    <w:rsid w:val="4E0565DE"/>
    <w:rsid w:val="4E0631B0"/>
    <w:rsid w:val="4E075D8A"/>
    <w:rsid w:val="4E0A177F"/>
    <w:rsid w:val="4E0A6ED3"/>
    <w:rsid w:val="4E143B1F"/>
    <w:rsid w:val="4E151983"/>
    <w:rsid w:val="4E1E499E"/>
    <w:rsid w:val="4E2776C4"/>
    <w:rsid w:val="4E292CC3"/>
    <w:rsid w:val="4E2D4BE1"/>
    <w:rsid w:val="4E3009A9"/>
    <w:rsid w:val="4E3F1DA0"/>
    <w:rsid w:val="4E3F594B"/>
    <w:rsid w:val="4E406489"/>
    <w:rsid w:val="4E467A51"/>
    <w:rsid w:val="4E50267E"/>
    <w:rsid w:val="4E517E06"/>
    <w:rsid w:val="4E5B174E"/>
    <w:rsid w:val="4E5B3560"/>
    <w:rsid w:val="4E61488B"/>
    <w:rsid w:val="4E681E95"/>
    <w:rsid w:val="4E685C19"/>
    <w:rsid w:val="4E6B645F"/>
    <w:rsid w:val="4E713AE7"/>
    <w:rsid w:val="4E770255"/>
    <w:rsid w:val="4E771C63"/>
    <w:rsid w:val="4E801CD9"/>
    <w:rsid w:val="4E850579"/>
    <w:rsid w:val="4E9277A3"/>
    <w:rsid w:val="4E94445B"/>
    <w:rsid w:val="4E99164D"/>
    <w:rsid w:val="4EA74993"/>
    <w:rsid w:val="4EA81539"/>
    <w:rsid w:val="4EAB6A01"/>
    <w:rsid w:val="4EAE1C6F"/>
    <w:rsid w:val="4EB1136E"/>
    <w:rsid w:val="4EB21E9E"/>
    <w:rsid w:val="4EB470B0"/>
    <w:rsid w:val="4EB66985"/>
    <w:rsid w:val="4EB669C3"/>
    <w:rsid w:val="4EB8094F"/>
    <w:rsid w:val="4EBE3A8B"/>
    <w:rsid w:val="4EC00FAD"/>
    <w:rsid w:val="4EC12A68"/>
    <w:rsid w:val="4EC372F3"/>
    <w:rsid w:val="4EC5306C"/>
    <w:rsid w:val="4EC57303"/>
    <w:rsid w:val="4ED31AB1"/>
    <w:rsid w:val="4ED8624E"/>
    <w:rsid w:val="4EE038B8"/>
    <w:rsid w:val="4EE32BB8"/>
    <w:rsid w:val="4EE3488D"/>
    <w:rsid w:val="4EE50E2B"/>
    <w:rsid w:val="4EE80B08"/>
    <w:rsid w:val="4EEE10D1"/>
    <w:rsid w:val="4EF86F9D"/>
    <w:rsid w:val="4EF93FB4"/>
    <w:rsid w:val="4F0152A9"/>
    <w:rsid w:val="4F043B94"/>
    <w:rsid w:val="4F0A02FB"/>
    <w:rsid w:val="4F1452D3"/>
    <w:rsid w:val="4F146A1B"/>
    <w:rsid w:val="4F1E0348"/>
    <w:rsid w:val="4F2204BE"/>
    <w:rsid w:val="4F220939"/>
    <w:rsid w:val="4F25137B"/>
    <w:rsid w:val="4F2A1121"/>
    <w:rsid w:val="4F2A7341"/>
    <w:rsid w:val="4F2C4E99"/>
    <w:rsid w:val="4F2F4ABE"/>
    <w:rsid w:val="4F351F9F"/>
    <w:rsid w:val="4F391364"/>
    <w:rsid w:val="4F391F5E"/>
    <w:rsid w:val="4F3B5D6E"/>
    <w:rsid w:val="4F3D380D"/>
    <w:rsid w:val="4F432AC5"/>
    <w:rsid w:val="4F4440D3"/>
    <w:rsid w:val="4F5A5825"/>
    <w:rsid w:val="4F5D32A4"/>
    <w:rsid w:val="4F604B42"/>
    <w:rsid w:val="4F626B0C"/>
    <w:rsid w:val="4F691C49"/>
    <w:rsid w:val="4F6B2F35"/>
    <w:rsid w:val="4F6C34E7"/>
    <w:rsid w:val="4F6C798B"/>
    <w:rsid w:val="4F7A20A8"/>
    <w:rsid w:val="4F7B5396"/>
    <w:rsid w:val="4F7C6076"/>
    <w:rsid w:val="4F8627FB"/>
    <w:rsid w:val="4F870321"/>
    <w:rsid w:val="4F8C3B89"/>
    <w:rsid w:val="4F960564"/>
    <w:rsid w:val="4F980780"/>
    <w:rsid w:val="4F98252E"/>
    <w:rsid w:val="4F9842DC"/>
    <w:rsid w:val="4F9843DC"/>
    <w:rsid w:val="4F997447"/>
    <w:rsid w:val="4FA06F90"/>
    <w:rsid w:val="4FA2360D"/>
    <w:rsid w:val="4FA54BD9"/>
    <w:rsid w:val="4FA90297"/>
    <w:rsid w:val="4FAF2FEB"/>
    <w:rsid w:val="4FBA0DCA"/>
    <w:rsid w:val="4FBD1F95"/>
    <w:rsid w:val="4FBF2D1B"/>
    <w:rsid w:val="4FC37779"/>
    <w:rsid w:val="4FC62A8C"/>
    <w:rsid w:val="4FC96B8B"/>
    <w:rsid w:val="4FCC791E"/>
    <w:rsid w:val="4FD04D00"/>
    <w:rsid w:val="4FD5108C"/>
    <w:rsid w:val="4FDB7008"/>
    <w:rsid w:val="4FDD6193"/>
    <w:rsid w:val="4FDF1FB1"/>
    <w:rsid w:val="4FE12651"/>
    <w:rsid w:val="4FE20F0D"/>
    <w:rsid w:val="4FE45773"/>
    <w:rsid w:val="4FE51552"/>
    <w:rsid w:val="4FEA500C"/>
    <w:rsid w:val="4FEA5B24"/>
    <w:rsid w:val="4FEF4A07"/>
    <w:rsid w:val="4FF078F9"/>
    <w:rsid w:val="4FF43C08"/>
    <w:rsid w:val="4FF74123"/>
    <w:rsid w:val="4FF74E86"/>
    <w:rsid w:val="4FF77255"/>
    <w:rsid w:val="4FF84D7B"/>
    <w:rsid w:val="4FFA4F97"/>
    <w:rsid w:val="500100D3"/>
    <w:rsid w:val="5006393C"/>
    <w:rsid w:val="50094EDC"/>
    <w:rsid w:val="500C7A62"/>
    <w:rsid w:val="501209BD"/>
    <w:rsid w:val="50135F43"/>
    <w:rsid w:val="501564BF"/>
    <w:rsid w:val="501B1247"/>
    <w:rsid w:val="501E2A33"/>
    <w:rsid w:val="501F6A7F"/>
    <w:rsid w:val="502436A2"/>
    <w:rsid w:val="50250266"/>
    <w:rsid w:val="5028099F"/>
    <w:rsid w:val="503201DA"/>
    <w:rsid w:val="50334005"/>
    <w:rsid w:val="50373AF5"/>
    <w:rsid w:val="50377F99"/>
    <w:rsid w:val="503B40AD"/>
    <w:rsid w:val="50404467"/>
    <w:rsid w:val="5043693E"/>
    <w:rsid w:val="50483F54"/>
    <w:rsid w:val="504F0E3F"/>
    <w:rsid w:val="50504BB7"/>
    <w:rsid w:val="50504C4B"/>
    <w:rsid w:val="5053081F"/>
    <w:rsid w:val="50575F45"/>
    <w:rsid w:val="505A0C65"/>
    <w:rsid w:val="505A51B9"/>
    <w:rsid w:val="505A64D0"/>
    <w:rsid w:val="505E139D"/>
    <w:rsid w:val="505E275C"/>
    <w:rsid w:val="506863A4"/>
    <w:rsid w:val="50703346"/>
    <w:rsid w:val="50722D7F"/>
    <w:rsid w:val="5076286F"/>
    <w:rsid w:val="507B573E"/>
    <w:rsid w:val="507B75D2"/>
    <w:rsid w:val="507C53BD"/>
    <w:rsid w:val="507D3D9C"/>
    <w:rsid w:val="50812FC2"/>
    <w:rsid w:val="5086630E"/>
    <w:rsid w:val="508B5BEF"/>
    <w:rsid w:val="508D1967"/>
    <w:rsid w:val="508D2AE9"/>
    <w:rsid w:val="508F5884"/>
    <w:rsid w:val="50905620"/>
    <w:rsid w:val="509C6E7C"/>
    <w:rsid w:val="50A06F09"/>
    <w:rsid w:val="50A16C9D"/>
    <w:rsid w:val="50A2316A"/>
    <w:rsid w:val="50AB003F"/>
    <w:rsid w:val="50AC430F"/>
    <w:rsid w:val="50AC6291"/>
    <w:rsid w:val="50AF5D81"/>
    <w:rsid w:val="50B25365"/>
    <w:rsid w:val="50B36B51"/>
    <w:rsid w:val="50B909AE"/>
    <w:rsid w:val="50B9199C"/>
    <w:rsid w:val="50C23D07"/>
    <w:rsid w:val="50C66840"/>
    <w:rsid w:val="50C80BF1"/>
    <w:rsid w:val="50CA6717"/>
    <w:rsid w:val="50CE6F9F"/>
    <w:rsid w:val="50D41344"/>
    <w:rsid w:val="50DC28E5"/>
    <w:rsid w:val="50DC4BB9"/>
    <w:rsid w:val="50DC644B"/>
    <w:rsid w:val="50E023DF"/>
    <w:rsid w:val="50EA06A7"/>
    <w:rsid w:val="50EE3473"/>
    <w:rsid w:val="50F413DD"/>
    <w:rsid w:val="50F64F1D"/>
    <w:rsid w:val="50F6575E"/>
    <w:rsid w:val="50F814D6"/>
    <w:rsid w:val="50F934A0"/>
    <w:rsid w:val="50FB0FC7"/>
    <w:rsid w:val="510A2FB8"/>
    <w:rsid w:val="510B5A62"/>
    <w:rsid w:val="51145BE4"/>
    <w:rsid w:val="51172EA3"/>
    <w:rsid w:val="511D718F"/>
    <w:rsid w:val="512008E0"/>
    <w:rsid w:val="51215E2C"/>
    <w:rsid w:val="51242E37"/>
    <w:rsid w:val="51246D02"/>
    <w:rsid w:val="51275918"/>
    <w:rsid w:val="512A18AC"/>
    <w:rsid w:val="512A5036"/>
    <w:rsid w:val="512C5624"/>
    <w:rsid w:val="5130404F"/>
    <w:rsid w:val="513444D8"/>
    <w:rsid w:val="51387B25"/>
    <w:rsid w:val="513D513B"/>
    <w:rsid w:val="51426BF5"/>
    <w:rsid w:val="514447B0"/>
    <w:rsid w:val="514566E6"/>
    <w:rsid w:val="51497F84"/>
    <w:rsid w:val="514B3CFC"/>
    <w:rsid w:val="514E739A"/>
    <w:rsid w:val="51572BFD"/>
    <w:rsid w:val="51581F75"/>
    <w:rsid w:val="516170BA"/>
    <w:rsid w:val="5162104E"/>
    <w:rsid w:val="516867E6"/>
    <w:rsid w:val="516B3D61"/>
    <w:rsid w:val="51757A6A"/>
    <w:rsid w:val="51760CEE"/>
    <w:rsid w:val="517F7502"/>
    <w:rsid w:val="51852AB1"/>
    <w:rsid w:val="518A4A2F"/>
    <w:rsid w:val="518C7E71"/>
    <w:rsid w:val="518F170F"/>
    <w:rsid w:val="51900003"/>
    <w:rsid w:val="51902C77"/>
    <w:rsid w:val="51925A27"/>
    <w:rsid w:val="519901E5"/>
    <w:rsid w:val="519C513B"/>
    <w:rsid w:val="51A76A58"/>
    <w:rsid w:val="51A91CCA"/>
    <w:rsid w:val="51AA24AB"/>
    <w:rsid w:val="51B521BC"/>
    <w:rsid w:val="51B65558"/>
    <w:rsid w:val="51B676E4"/>
    <w:rsid w:val="51B86A43"/>
    <w:rsid w:val="51B92E34"/>
    <w:rsid w:val="51BC2E81"/>
    <w:rsid w:val="51C25640"/>
    <w:rsid w:val="51CB061E"/>
    <w:rsid w:val="51D535C6"/>
    <w:rsid w:val="51D57F4D"/>
    <w:rsid w:val="51D81308"/>
    <w:rsid w:val="51DC4954"/>
    <w:rsid w:val="51E2214F"/>
    <w:rsid w:val="51E7471B"/>
    <w:rsid w:val="51F04169"/>
    <w:rsid w:val="51FD2B1C"/>
    <w:rsid w:val="51FD2C04"/>
    <w:rsid w:val="5201085F"/>
    <w:rsid w:val="52020133"/>
    <w:rsid w:val="52067C23"/>
    <w:rsid w:val="520C5643"/>
    <w:rsid w:val="520D7203"/>
    <w:rsid w:val="520F2497"/>
    <w:rsid w:val="520F7A1E"/>
    <w:rsid w:val="52187956"/>
    <w:rsid w:val="521E5EB2"/>
    <w:rsid w:val="52212B85"/>
    <w:rsid w:val="52232583"/>
    <w:rsid w:val="52291B63"/>
    <w:rsid w:val="522A0365"/>
    <w:rsid w:val="523E1F05"/>
    <w:rsid w:val="524022BE"/>
    <w:rsid w:val="52455D32"/>
    <w:rsid w:val="525A3ACB"/>
    <w:rsid w:val="526A2BA7"/>
    <w:rsid w:val="526C6745"/>
    <w:rsid w:val="527965C7"/>
    <w:rsid w:val="52846D9A"/>
    <w:rsid w:val="52892514"/>
    <w:rsid w:val="528B0C5B"/>
    <w:rsid w:val="5290648E"/>
    <w:rsid w:val="5294522F"/>
    <w:rsid w:val="5295167A"/>
    <w:rsid w:val="5295795B"/>
    <w:rsid w:val="52990A97"/>
    <w:rsid w:val="52A06C77"/>
    <w:rsid w:val="52A64F62"/>
    <w:rsid w:val="52AA4A52"/>
    <w:rsid w:val="52AD4542"/>
    <w:rsid w:val="52B14033"/>
    <w:rsid w:val="52B315EC"/>
    <w:rsid w:val="52B91E35"/>
    <w:rsid w:val="52B9215C"/>
    <w:rsid w:val="52B94123"/>
    <w:rsid w:val="52C673B2"/>
    <w:rsid w:val="52CF270B"/>
    <w:rsid w:val="52D41ACF"/>
    <w:rsid w:val="52D641A6"/>
    <w:rsid w:val="52D7511B"/>
    <w:rsid w:val="52DA6749"/>
    <w:rsid w:val="52DC2732"/>
    <w:rsid w:val="52E553C3"/>
    <w:rsid w:val="52EC7697"/>
    <w:rsid w:val="52EF6909"/>
    <w:rsid w:val="52F245E9"/>
    <w:rsid w:val="52F757BE"/>
    <w:rsid w:val="52F83A10"/>
    <w:rsid w:val="52FA3DBB"/>
    <w:rsid w:val="52FB488E"/>
    <w:rsid w:val="52FB52AE"/>
    <w:rsid w:val="52FD1555"/>
    <w:rsid w:val="53004672"/>
    <w:rsid w:val="5302488E"/>
    <w:rsid w:val="53071EA5"/>
    <w:rsid w:val="53087A9C"/>
    <w:rsid w:val="530A3743"/>
    <w:rsid w:val="530A54F1"/>
    <w:rsid w:val="530C5021"/>
    <w:rsid w:val="530E3233"/>
    <w:rsid w:val="530F6FAB"/>
    <w:rsid w:val="53114AD1"/>
    <w:rsid w:val="53177C0E"/>
    <w:rsid w:val="531A2AFF"/>
    <w:rsid w:val="531E71EE"/>
    <w:rsid w:val="532105A3"/>
    <w:rsid w:val="53227641"/>
    <w:rsid w:val="53236605"/>
    <w:rsid w:val="53253728"/>
    <w:rsid w:val="53275046"/>
    <w:rsid w:val="532A3370"/>
    <w:rsid w:val="533047B8"/>
    <w:rsid w:val="53306F9D"/>
    <w:rsid w:val="53332C9A"/>
    <w:rsid w:val="533B1B4E"/>
    <w:rsid w:val="533B4C16"/>
    <w:rsid w:val="534053B7"/>
    <w:rsid w:val="534327B1"/>
    <w:rsid w:val="5345477B"/>
    <w:rsid w:val="53464306"/>
    <w:rsid w:val="534E1DCB"/>
    <w:rsid w:val="534E5504"/>
    <w:rsid w:val="53512FF6"/>
    <w:rsid w:val="5352510C"/>
    <w:rsid w:val="53586D93"/>
    <w:rsid w:val="535B0105"/>
    <w:rsid w:val="535B5D4C"/>
    <w:rsid w:val="53613309"/>
    <w:rsid w:val="53662C69"/>
    <w:rsid w:val="5366661E"/>
    <w:rsid w:val="53690469"/>
    <w:rsid w:val="5371731E"/>
    <w:rsid w:val="53727988"/>
    <w:rsid w:val="537B1F4B"/>
    <w:rsid w:val="537B63EF"/>
    <w:rsid w:val="538962C3"/>
    <w:rsid w:val="538A5129"/>
    <w:rsid w:val="538F1672"/>
    <w:rsid w:val="538F6092"/>
    <w:rsid w:val="53953374"/>
    <w:rsid w:val="53957C99"/>
    <w:rsid w:val="53986E4F"/>
    <w:rsid w:val="53992091"/>
    <w:rsid w:val="539D365F"/>
    <w:rsid w:val="53A01F83"/>
    <w:rsid w:val="53A039CC"/>
    <w:rsid w:val="53A1505A"/>
    <w:rsid w:val="53A5521A"/>
    <w:rsid w:val="53A96CB6"/>
    <w:rsid w:val="53AD7B9A"/>
    <w:rsid w:val="53AE0572"/>
    <w:rsid w:val="53AF7E46"/>
    <w:rsid w:val="53C41B44"/>
    <w:rsid w:val="53CA1459"/>
    <w:rsid w:val="53D0673A"/>
    <w:rsid w:val="53D31D87"/>
    <w:rsid w:val="53D94A0C"/>
    <w:rsid w:val="53DA2417"/>
    <w:rsid w:val="53E21FCA"/>
    <w:rsid w:val="53E31F35"/>
    <w:rsid w:val="53F16A41"/>
    <w:rsid w:val="53F41B45"/>
    <w:rsid w:val="53F43A13"/>
    <w:rsid w:val="53F73CC7"/>
    <w:rsid w:val="53F817ED"/>
    <w:rsid w:val="53F87A3F"/>
    <w:rsid w:val="53FC752F"/>
    <w:rsid w:val="53FF2E7B"/>
    <w:rsid w:val="53FF2F1C"/>
    <w:rsid w:val="5402441A"/>
    <w:rsid w:val="54063E08"/>
    <w:rsid w:val="540B1521"/>
    <w:rsid w:val="54100167"/>
    <w:rsid w:val="54163E55"/>
    <w:rsid w:val="54165D78"/>
    <w:rsid w:val="541C1D8D"/>
    <w:rsid w:val="541D1254"/>
    <w:rsid w:val="541E3CF3"/>
    <w:rsid w:val="541E6E5F"/>
    <w:rsid w:val="54264447"/>
    <w:rsid w:val="542802CE"/>
    <w:rsid w:val="542E3166"/>
    <w:rsid w:val="54336CC9"/>
    <w:rsid w:val="543437E8"/>
    <w:rsid w:val="5436359E"/>
    <w:rsid w:val="543E5CB5"/>
    <w:rsid w:val="543F794D"/>
    <w:rsid w:val="5449029B"/>
    <w:rsid w:val="544F6DE0"/>
    <w:rsid w:val="545C2B71"/>
    <w:rsid w:val="545C5C67"/>
    <w:rsid w:val="5463135D"/>
    <w:rsid w:val="546533AA"/>
    <w:rsid w:val="54663EA5"/>
    <w:rsid w:val="54684BC5"/>
    <w:rsid w:val="546B1FBF"/>
    <w:rsid w:val="547153CD"/>
    <w:rsid w:val="54731993"/>
    <w:rsid w:val="54752E3E"/>
    <w:rsid w:val="547571D3"/>
    <w:rsid w:val="547F4B0F"/>
    <w:rsid w:val="548328B3"/>
    <w:rsid w:val="549811D4"/>
    <w:rsid w:val="549B49B6"/>
    <w:rsid w:val="549B6A88"/>
    <w:rsid w:val="549E05E7"/>
    <w:rsid w:val="54A24A18"/>
    <w:rsid w:val="54A261B5"/>
    <w:rsid w:val="54A52790"/>
    <w:rsid w:val="54A55CB3"/>
    <w:rsid w:val="54A61249"/>
    <w:rsid w:val="54AB2D04"/>
    <w:rsid w:val="54AB4AB2"/>
    <w:rsid w:val="54AB5BB6"/>
    <w:rsid w:val="54AB6860"/>
    <w:rsid w:val="54AC7735"/>
    <w:rsid w:val="54B35714"/>
    <w:rsid w:val="54BA452B"/>
    <w:rsid w:val="54BA6AA3"/>
    <w:rsid w:val="54BF6A11"/>
    <w:rsid w:val="54C1058A"/>
    <w:rsid w:val="54C32B2B"/>
    <w:rsid w:val="54C672E9"/>
    <w:rsid w:val="54C95E27"/>
    <w:rsid w:val="54CF2766"/>
    <w:rsid w:val="54D44008"/>
    <w:rsid w:val="54D933CD"/>
    <w:rsid w:val="54D9517B"/>
    <w:rsid w:val="54DC2EBD"/>
    <w:rsid w:val="54E51D72"/>
    <w:rsid w:val="54E81862"/>
    <w:rsid w:val="54F430DC"/>
    <w:rsid w:val="54F72B40"/>
    <w:rsid w:val="54F73313"/>
    <w:rsid w:val="54F80955"/>
    <w:rsid w:val="5503126A"/>
    <w:rsid w:val="55035D70"/>
    <w:rsid w:val="550C2E4B"/>
    <w:rsid w:val="55124A55"/>
    <w:rsid w:val="55124B31"/>
    <w:rsid w:val="5516126F"/>
    <w:rsid w:val="55164621"/>
    <w:rsid w:val="55172147"/>
    <w:rsid w:val="551B4F99"/>
    <w:rsid w:val="551D3A8B"/>
    <w:rsid w:val="551D66C6"/>
    <w:rsid w:val="551F6B7E"/>
    <w:rsid w:val="5520724E"/>
    <w:rsid w:val="552560A4"/>
    <w:rsid w:val="552A59D6"/>
    <w:rsid w:val="552C7073"/>
    <w:rsid w:val="55311255"/>
    <w:rsid w:val="5531145B"/>
    <w:rsid w:val="55344AA7"/>
    <w:rsid w:val="55356D0B"/>
    <w:rsid w:val="5536081F"/>
    <w:rsid w:val="55371DDA"/>
    <w:rsid w:val="553920BD"/>
    <w:rsid w:val="553B5E36"/>
    <w:rsid w:val="553F28C3"/>
    <w:rsid w:val="55407BF5"/>
    <w:rsid w:val="554A6079"/>
    <w:rsid w:val="554C3B9F"/>
    <w:rsid w:val="554E3689"/>
    <w:rsid w:val="555170A7"/>
    <w:rsid w:val="555313D1"/>
    <w:rsid w:val="55532A38"/>
    <w:rsid w:val="55532EF9"/>
    <w:rsid w:val="555667CB"/>
    <w:rsid w:val="555B2034"/>
    <w:rsid w:val="555D3FFE"/>
    <w:rsid w:val="55613739"/>
    <w:rsid w:val="556212EC"/>
    <w:rsid w:val="5564238C"/>
    <w:rsid w:val="55642923"/>
    <w:rsid w:val="556752C9"/>
    <w:rsid w:val="556A5599"/>
    <w:rsid w:val="5587536D"/>
    <w:rsid w:val="5588094F"/>
    <w:rsid w:val="559127B2"/>
    <w:rsid w:val="55916554"/>
    <w:rsid w:val="559246F5"/>
    <w:rsid w:val="559519EA"/>
    <w:rsid w:val="559747ED"/>
    <w:rsid w:val="55986DE4"/>
    <w:rsid w:val="559B174B"/>
    <w:rsid w:val="559E5797"/>
    <w:rsid w:val="55A734CB"/>
    <w:rsid w:val="55AA2FBB"/>
    <w:rsid w:val="55AA650F"/>
    <w:rsid w:val="55AC3854"/>
    <w:rsid w:val="55AF2380"/>
    <w:rsid w:val="55B41744"/>
    <w:rsid w:val="55B5364C"/>
    <w:rsid w:val="55B61960"/>
    <w:rsid w:val="55BE60D5"/>
    <w:rsid w:val="55C0458D"/>
    <w:rsid w:val="55C220B3"/>
    <w:rsid w:val="55C343BA"/>
    <w:rsid w:val="55C8387E"/>
    <w:rsid w:val="55CE0CF4"/>
    <w:rsid w:val="55D54178"/>
    <w:rsid w:val="55DA2AAF"/>
    <w:rsid w:val="55DD18A9"/>
    <w:rsid w:val="55ED754B"/>
    <w:rsid w:val="55F06C20"/>
    <w:rsid w:val="55F62785"/>
    <w:rsid w:val="55FE5DC1"/>
    <w:rsid w:val="56000E0D"/>
    <w:rsid w:val="5606697B"/>
    <w:rsid w:val="56085BAF"/>
    <w:rsid w:val="560B209B"/>
    <w:rsid w:val="560E744C"/>
    <w:rsid w:val="56110473"/>
    <w:rsid w:val="561346BC"/>
    <w:rsid w:val="561A3C9D"/>
    <w:rsid w:val="562130F8"/>
    <w:rsid w:val="56237AC5"/>
    <w:rsid w:val="562468CA"/>
    <w:rsid w:val="56266506"/>
    <w:rsid w:val="56293EE0"/>
    <w:rsid w:val="56350AD7"/>
    <w:rsid w:val="564173EA"/>
    <w:rsid w:val="56433142"/>
    <w:rsid w:val="56491CFD"/>
    <w:rsid w:val="564927D4"/>
    <w:rsid w:val="564C1134"/>
    <w:rsid w:val="564C4599"/>
    <w:rsid w:val="5654060E"/>
    <w:rsid w:val="56605106"/>
    <w:rsid w:val="56666EE2"/>
    <w:rsid w:val="566878D7"/>
    <w:rsid w:val="566E483D"/>
    <w:rsid w:val="566E5DA8"/>
    <w:rsid w:val="56772101"/>
    <w:rsid w:val="567F7FA4"/>
    <w:rsid w:val="56892BD1"/>
    <w:rsid w:val="568E2114"/>
    <w:rsid w:val="568E6439"/>
    <w:rsid w:val="569315DB"/>
    <w:rsid w:val="56951575"/>
    <w:rsid w:val="56956FAC"/>
    <w:rsid w:val="569A3030"/>
    <w:rsid w:val="56A1616C"/>
    <w:rsid w:val="56A25A40"/>
    <w:rsid w:val="56A35797"/>
    <w:rsid w:val="56A40424"/>
    <w:rsid w:val="56A45C5C"/>
    <w:rsid w:val="56AE3C10"/>
    <w:rsid w:val="56B22A9C"/>
    <w:rsid w:val="56B86B63"/>
    <w:rsid w:val="56BA29C1"/>
    <w:rsid w:val="56BC4D54"/>
    <w:rsid w:val="56BD3201"/>
    <w:rsid w:val="56C360E3"/>
    <w:rsid w:val="56C43C09"/>
    <w:rsid w:val="56C62F15"/>
    <w:rsid w:val="56C65BD3"/>
    <w:rsid w:val="56C836F9"/>
    <w:rsid w:val="56C9121F"/>
    <w:rsid w:val="56CE2B01"/>
    <w:rsid w:val="56CF0F2B"/>
    <w:rsid w:val="56D457A6"/>
    <w:rsid w:val="56DA167E"/>
    <w:rsid w:val="56E2111D"/>
    <w:rsid w:val="56ED13B1"/>
    <w:rsid w:val="56FB1D20"/>
    <w:rsid w:val="56FC15F5"/>
    <w:rsid w:val="57002130"/>
    <w:rsid w:val="57014765"/>
    <w:rsid w:val="570861EB"/>
    <w:rsid w:val="570F26FF"/>
    <w:rsid w:val="57132A5D"/>
    <w:rsid w:val="57147361"/>
    <w:rsid w:val="571701DC"/>
    <w:rsid w:val="57185D66"/>
    <w:rsid w:val="57192BB8"/>
    <w:rsid w:val="57212E09"/>
    <w:rsid w:val="572355B2"/>
    <w:rsid w:val="57297C8B"/>
    <w:rsid w:val="572A43B4"/>
    <w:rsid w:val="57375C8E"/>
    <w:rsid w:val="573A4B91"/>
    <w:rsid w:val="573D472C"/>
    <w:rsid w:val="57437223"/>
    <w:rsid w:val="57452F9B"/>
    <w:rsid w:val="57550A3D"/>
    <w:rsid w:val="575907F5"/>
    <w:rsid w:val="575B456D"/>
    <w:rsid w:val="575B631B"/>
    <w:rsid w:val="57671164"/>
    <w:rsid w:val="576B16A8"/>
    <w:rsid w:val="576B35D3"/>
    <w:rsid w:val="576E3115"/>
    <w:rsid w:val="576F6420"/>
    <w:rsid w:val="57776ECD"/>
    <w:rsid w:val="577C44E3"/>
    <w:rsid w:val="57815511"/>
    <w:rsid w:val="57825F9E"/>
    <w:rsid w:val="5785783C"/>
    <w:rsid w:val="5791722E"/>
    <w:rsid w:val="57923D07"/>
    <w:rsid w:val="57931F59"/>
    <w:rsid w:val="579636E5"/>
    <w:rsid w:val="579730CB"/>
    <w:rsid w:val="579D2226"/>
    <w:rsid w:val="579E08FE"/>
    <w:rsid w:val="579E7522"/>
    <w:rsid w:val="57A47FF6"/>
    <w:rsid w:val="57AE68B4"/>
    <w:rsid w:val="57B72A76"/>
    <w:rsid w:val="57B94BE2"/>
    <w:rsid w:val="57C3426C"/>
    <w:rsid w:val="57C40412"/>
    <w:rsid w:val="57C4709E"/>
    <w:rsid w:val="57C540DC"/>
    <w:rsid w:val="57C55E8A"/>
    <w:rsid w:val="57C93BCD"/>
    <w:rsid w:val="57CE1F93"/>
    <w:rsid w:val="57CF64C3"/>
    <w:rsid w:val="57D04F5B"/>
    <w:rsid w:val="57D305A7"/>
    <w:rsid w:val="57D65DBB"/>
    <w:rsid w:val="57D83E10"/>
    <w:rsid w:val="57DA74D5"/>
    <w:rsid w:val="57DD4F82"/>
    <w:rsid w:val="57E14D9B"/>
    <w:rsid w:val="57E26310"/>
    <w:rsid w:val="57E54A78"/>
    <w:rsid w:val="57F20685"/>
    <w:rsid w:val="57FB18AC"/>
    <w:rsid w:val="57FE314A"/>
    <w:rsid w:val="58016EFD"/>
    <w:rsid w:val="58030761"/>
    <w:rsid w:val="58070E85"/>
    <w:rsid w:val="580764A3"/>
    <w:rsid w:val="580F7106"/>
    <w:rsid w:val="5814296E"/>
    <w:rsid w:val="58150BC0"/>
    <w:rsid w:val="5816199B"/>
    <w:rsid w:val="581632C2"/>
    <w:rsid w:val="581A41B0"/>
    <w:rsid w:val="581C3F0A"/>
    <w:rsid w:val="58232B8F"/>
    <w:rsid w:val="58244F2D"/>
    <w:rsid w:val="58254B7B"/>
    <w:rsid w:val="582E2CD1"/>
    <w:rsid w:val="582F01FA"/>
    <w:rsid w:val="583031D3"/>
    <w:rsid w:val="5833388E"/>
    <w:rsid w:val="58342246"/>
    <w:rsid w:val="58445001"/>
    <w:rsid w:val="58472D43"/>
    <w:rsid w:val="58481CE4"/>
    <w:rsid w:val="58490869"/>
    <w:rsid w:val="58493C13"/>
    <w:rsid w:val="58496EF9"/>
    <w:rsid w:val="584C4139"/>
    <w:rsid w:val="58501BF8"/>
    <w:rsid w:val="58535244"/>
    <w:rsid w:val="58554656"/>
    <w:rsid w:val="58580AAD"/>
    <w:rsid w:val="585A7D6B"/>
    <w:rsid w:val="585C536F"/>
    <w:rsid w:val="585F1E3B"/>
    <w:rsid w:val="58692CBA"/>
    <w:rsid w:val="586C6306"/>
    <w:rsid w:val="58780AE2"/>
    <w:rsid w:val="587C29ED"/>
    <w:rsid w:val="58801DB1"/>
    <w:rsid w:val="588743D1"/>
    <w:rsid w:val="5887701A"/>
    <w:rsid w:val="588B70D4"/>
    <w:rsid w:val="588D4E2A"/>
    <w:rsid w:val="589113DD"/>
    <w:rsid w:val="589C308F"/>
    <w:rsid w:val="58A37C2B"/>
    <w:rsid w:val="58A84D1E"/>
    <w:rsid w:val="58B01941"/>
    <w:rsid w:val="58BA2C69"/>
    <w:rsid w:val="58BA3515"/>
    <w:rsid w:val="58C0585C"/>
    <w:rsid w:val="58C10C9B"/>
    <w:rsid w:val="58C61C3A"/>
    <w:rsid w:val="58C7422F"/>
    <w:rsid w:val="58C834B8"/>
    <w:rsid w:val="58CE3CCC"/>
    <w:rsid w:val="58D02D39"/>
    <w:rsid w:val="58D345D7"/>
    <w:rsid w:val="58D4636D"/>
    <w:rsid w:val="58D87E7E"/>
    <w:rsid w:val="58ED7447"/>
    <w:rsid w:val="58F37977"/>
    <w:rsid w:val="59036C6A"/>
    <w:rsid w:val="59075498"/>
    <w:rsid w:val="5907661B"/>
    <w:rsid w:val="590D32F7"/>
    <w:rsid w:val="5915699E"/>
    <w:rsid w:val="591744C4"/>
    <w:rsid w:val="59177B75"/>
    <w:rsid w:val="591976E2"/>
    <w:rsid w:val="5923730C"/>
    <w:rsid w:val="59254E33"/>
    <w:rsid w:val="59264862"/>
    <w:rsid w:val="59287B0F"/>
    <w:rsid w:val="592919F3"/>
    <w:rsid w:val="592F5CB1"/>
    <w:rsid w:val="592F7A5F"/>
    <w:rsid w:val="593432C8"/>
    <w:rsid w:val="59391ED7"/>
    <w:rsid w:val="593E40B1"/>
    <w:rsid w:val="59401C6C"/>
    <w:rsid w:val="5940537B"/>
    <w:rsid w:val="59457962"/>
    <w:rsid w:val="595219A0"/>
    <w:rsid w:val="59534CCC"/>
    <w:rsid w:val="595474C6"/>
    <w:rsid w:val="59576FB6"/>
    <w:rsid w:val="59594ADC"/>
    <w:rsid w:val="595D3C51"/>
    <w:rsid w:val="5960559A"/>
    <w:rsid w:val="59625444"/>
    <w:rsid w:val="596811C3"/>
    <w:rsid w:val="59682F71"/>
    <w:rsid w:val="596A4F3B"/>
    <w:rsid w:val="596D68F5"/>
    <w:rsid w:val="597162CA"/>
    <w:rsid w:val="597731B4"/>
    <w:rsid w:val="598002BB"/>
    <w:rsid w:val="5980650D"/>
    <w:rsid w:val="598C3104"/>
    <w:rsid w:val="598C6FAB"/>
    <w:rsid w:val="598D29D8"/>
    <w:rsid w:val="599746BF"/>
    <w:rsid w:val="59A41ECD"/>
    <w:rsid w:val="59A61881"/>
    <w:rsid w:val="59AB03BC"/>
    <w:rsid w:val="59AB5BC0"/>
    <w:rsid w:val="59AC66B2"/>
    <w:rsid w:val="59AD4E28"/>
    <w:rsid w:val="59AF0BA0"/>
    <w:rsid w:val="59B71030"/>
    <w:rsid w:val="59B937CD"/>
    <w:rsid w:val="59BC5E8C"/>
    <w:rsid w:val="59BD1398"/>
    <w:rsid w:val="59BE5287"/>
    <w:rsid w:val="59BE5FB3"/>
    <w:rsid w:val="59BE7035"/>
    <w:rsid w:val="59C0439F"/>
    <w:rsid w:val="59C63F80"/>
    <w:rsid w:val="59C671C0"/>
    <w:rsid w:val="59CE54CA"/>
    <w:rsid w:val="59D060B0"/>
    <w:rsid w:val="59D800F7"/>
    <w:rsid w:val="59D93E6F"/>
    <w:rsid w:val="59E24A40"/>
    <w:rsid w:val="59E545C2"/>
    <w:rsid w:val="59EA4662"/>
    <w:rsid w:val="59EB603E"/>
    <w:rsid w:val="59EC13AA"/>
    <w:rsid w:val="59F26D7E"/>
    <w:rsid w:val="59F40CA9"/>
    <w:rsid w:val="59F44805"/>
    <w:rsid w:val="5A026A7C"/>
    <w:rsid w:val="5A032C9A"/>
    <w:rsid w:val="5A095AE7"/>
    <w:rsid w:val="5A0E3B19"/>
    <w:rsid w:val="5A13319B"/>
    <w:rsid w:val="5A1F4B06"/>
    <w:rsid w:val="5A1F7FD2"/>
    <w:rsid w:val="5A20247C"/>
    <w:rsid w:val="5A2450EA"/>
    <w:rsid w:val="5A2E01F5"/>
    <w:rsid w:val="5A3115B5"/>
    <w:rsid w:val="5A3317D1"/>
    <w:rsid w:val="5A3D43FE"/>
    <w:rsid w:val="5A3D4CA4"/>
    <w:rsid w:val="5A3D5A4E"/>
    <w:rsid w:val="5A3F2E3A"/>
    <w:rsid w:val="5A4E087F"/>
    <w:rsid w:val="5A517FDA"/>
    <w:rsid w:val="5A53122F"/>
    <w:rsid w:val="5A543E35"/>
    <w:rsid w:val="5A56726E"/>
    <w:rsid w:val="5A5B1C29"/>
    <w:rsid w:val="5A6029F1"/>
    <w:rsid w:val="5A64198B"/>
    <w:rsid w:val="5A690445"/>
    <w:rsid w:val="5A714597"/>
    <w:rsid w:val="5A773B54"/>
    <w:rsid w:val="5A815E0F"/>
    <w:rsid w:val="5A837DE0"/>
    <w:rsid w:val="5A89319F"/>
    <w:rsid w:val="5A897643"/>
    <w:rsid w:val="5A957D96"/>
    <w:rsid w:val="5A9730D1"/>
    <w:rsid w:val="5A9A1D59"/>
    <w:rsid w:val="5A9B0079"/>
    <w:rsid w:val="5A9B1124"/>
    <w:rsid w:val="5AA955EF"/>
    <w:rsid w:val="5AAD72D6"/>
    <w:rsid w:val="5AB0697E"/>
    <w:rsid w:val="5AB26B9A"/>
    <w:rsid w:val="5AB57716"/>
    <w:rsid w:val="5AB8768E"/>
    <w:rsid w:val="5ABC62CD"/>
    <w:rsid w:val="5ABE2233"/>
    <w:rsid w:val="5ABF12B7"/>
    <w:rsid w:val="5AC16DDD"/>
    <w:rsid w:val="5AC4067B"/>
    <w:rsid w:val="5AC71F19"/>
    <w:rsid w:val="5AC86C39"/>
    <w:rsid w:val="5ACE5056"/>
    <w:rsid w:val="5AD14B46"/>
    <w:rsid w:val="5AD53671"/>
    <w:rsid w:val="5AD85ED5"/>
    <w:rsid w:val="5ADD134B"/>
    <w:rsid w:val="5AE25C5B"/>
    <w:rsid w:val="5AE70005"/>
    <w:rsid w:val="5AE77486"/>
    <w:rsid w:val="5AE91E90"/>
    <w:rsid w:val="5AEB447E"/>
    <w:rsid w:val="5AF2059E"/>
    <w:rsid w:val="5AFB13A2"/>
    <w:rsid w:val="5AFC4A5C"/>
    <w:rsid w:val="5B044F1C"/>
    <w:rsid w:val="5B0758B0"/>
    <w:rsid w:val="5B0B1E06"/>
    <w:rsid w:val="5B1549FD"/>
    <w:rsid w:val="5B173F22"/>
    <w:rsid w:val="5B1B42F3"/>
    <w:rsid w:val="5B1C2265"/>
    <w:rsid w:val="5B1E5FDD"/>
    <w:rsid w:val="5B26435E"/>
    <w:rsid w:val="5B2D7C32"/>
    <w:rsid w:val="5B2E3D47"/>
    <w:rsid w:val="5B353327"/>
    <w:rsid w:val="5B377EB4"/>
    <w:rsid w:val="5B3B05AE"/>
    <w:rsid w:val="5B3F6809"/>
    <w:rsid w:val="5B4774FC"/>
    <w:rsid w:val="5B48305A"/>
    <w:rsid w:val="5B4A5024"/>
    <w:rsid w:val="5B4A6DD2"/>
    <w:rsid w:val="5B4E6197"/>
    <w:rsid w:val="5B506443"/>
    <w:rsid w:val="5B5A2D8E"/>
    <w:rsid w:val="5B5D14CD"/>
    <w:rsid w:val="5B631C42"/>
    <w:rsid w:val="5B6356DE"/>
    <w:rsid w:val="5B647768"/>
    <w:rsid w:val="5B6C7CED"/>
    <w:rsid w:val="5B6F4DC9"/>
    <w:rsid w:val="5B732DCE"/>
    <w:rsid w:val="5B7420A1"/>
    <w:rsid w:val="5B7D0ABB"/>
    <w:rsid w:val="5B7D706E"/>
    <w:rsid w:val="5B8555F6"/>
    <w:rsid w:val="5B8C73EB"/>
    <w:rsid w:val="5B8F2A37"/>
    <w:rsid w:val="5B9067AF"/>
    <w:rsid w:val="5B914A01"/>
    <w:rsid w:val="5B9354D3"/>
    <w:rsid w:val="5B965F53"/>
    <w:rsid w:val="5B9A03B8"/>
    <w:rsid w:val="5B9B13DC"/>
    <w:rsid w:val="5B9B50BB"/>
    <w:rsid w:val="5BA03FA1"/>
    <w:rsid w:val="5BA153AA"/>
    <w:rsid w:val="5BA45ACA"/>
    <w:rsid w:val="5BA929E0"/>
    <w:rsid w:val="5BB24978"/>
    <w:rsid w:val="5BB61B9D"/>
    <w:rsid w:val="5BBE2E70"/>
    <w:rsid w:val="5BC1147D"/>
    <w:rsid w:val="5BC34015"/>
    <w:rsid w:val="5BC76675"/>
    <w:rsid w:val="5BC8419B"/>
    <w:rsid w:val="5BCF015D"/>
    <w:rsid w:val="5BD02876"/>
    <w:rsid w:val="5BD57A5E"/>
    <w:rsid w:val="5BD82630"/>
    <w:rsid w:val="5BD85FFE"/>
    <w:rsid w:val="5BDF5D95"/>
    <w:rsid w:val="5BE70AC5"/>
    <w:rsid w:val="5BEA2363"/>
    <w:rsid w:val="5BEA7B98"/>
    <w:rsid w:val="5BED775E"/>
    <w:rsid w:val="5BF154A0"/>
    <w:rsid w:val="5BF73779"/>
    <w:rsid w:val="5BF94355"/>
    <w:rsid w:val="5BFB2DB5"/>
    <w:rsid w:val="5BFE7528"/>
    <w:rsid w:val="5C052CF9"/>
    <w:rsid w:val="5C0A0310"/>
    <w:rsid w:val="5C1005A0"/>
    <w:rsid w:val="5C103F57"/>
    <w:rsid w:val="5C11462C"/>
    <w:rsid w:val="5C125416"/>
    <w:rsid w:val="5C1732FF"/>
    <w:rsid w:val="5C1949F7"/>
    <w:rsid w:val="5C1B251D"/>
    <w:rsid w:val="5C1B305D"/>
    <w:rsid w:val="5C2018E1"/>
    <w:rsid w:val="5C281A46"/>
    <w:rsid w:val="5C282848"/>
    <w:rsid w:val="5C2E0DB0"/>
    <w:rsid w:val="5C307EC8"/>
    <w:rsid w:val="5C345D98"/>
    <w:rsid w:val="5C381321"/>
    <w:rsid w:val="5C390BF5"/>
    <w:rsid w:val="5C3B671B"/>
    <w:rsid w:val="5C3C025E"/>
    <w:rsid w:val="5C433822"/>
    <w:rsid w:val="5C436B59"/>
    <w:rsid w:val="5C4952DC"/>
    <w:rsid w:val="5C4B1880"/>
    <w:rsid w:val="5C4F0906"/>
    <w:rsid w:val="5C557892"/>
    <w:rsid w:val="5C56031C"/>
    <w:rsid w:val="5C5617A7"/>
    <w:rsid w:val="5C577E15"/>
    <w:rsid w:val="5C5A1297"/>
    <w:rsid w:val="5C5E240A"/>
    <w:rsid w:val="5C630009"/>
    <w:rsid w:val="5C696A57"/>
    <w:rsid w:val="5C6B5BC5"/>
    <w:rsid w:val="5C6B7B3C"/>
    <w:rsid w:val="5C6C2D78"/>
    <w:rsid w:val="5C796BBD"/>
    <w:rsid w:val="5C7A36E7"/>
    <w:rsid w:val="5C7B77D2"/>
    <w:rsid w:val="5C7D3833"/>
    <w:rsid w:val="5C7F57E5"/>
    <w:rsid w:val="5C835BC7"/>
    <w:rsid w:val="5C8624C4"/>
    <w:rsid w:val="5C875E04"/>
    <w:rsid w:val="5C98591B"/>
    <w:rsid w:val="5CA02A22"/>
    <w:rsid w:val="5CA314C8"/>
    <w:rsid w:val="5CA73892"/>
    <w:rsid w:val="5CAC13C7"/>
    <w:rsid w:val="5CAE15E3"/>
    <w:rsid w:val="5CB36BF9"/>
    <w:rsid w:val="5CB564CD"/>
    <w:rsid w:val="5CC826A5"/>
    <w:rsid w:val="5CC93D27"/>
    <w:rsid w:val="5CCA694D"/>
    <w:rsid w:val="5CCC5BEA"/>
    <w:rsid w:val="5CD72295"/>
    <w:rsid w:val="5CD86660"/>
    <w:rsid w:val="5CDD72B2"/>
    <w:rsid w:val="5CE84AF5"/>
    <w:rsid w:val="5CEA6800"/>
    <w:rsid w:val="5CEB0141"/>
    <w:rsid w:val="5CED6182"/>
    <w:rsid w:val="5CEE5E83"/>
    <w:rsid w:val="5CF36FF6"/>
    <w:rsid w:val="5CF832BC"/>
    <w:rsid w:val="5CF83777"/>
    <w:rsid w:val="5CF879ED"/>
    <w:rsid w:val="5CFA4828"/>
    <w:rsid w:val="5CFB0E86"/>
    <w:rsid w:val="5CFC234E"/>
    <w:rsid w:val="5CFD007B"/>
    <w:rsid w:val="5D064F7B"/>
    <w:rsid w:val="5D0A3648"/>
    <w:rsid w:val="5D0E5BDE"/>
    <w:rsid w:val="5D1A6C78"/>
    <w:rsid w:val="5D1B7F63"/>
    <w:rsid w:val="5D1E6BAB"/>
    <w:rsid w:val="5D211DB5"/>
    <w:rsid w:val="5D213B63"/>
    <w:rsid w:val="5D2378DB"/>
    <w:rsid w:val="5D241193"/>
    <w:rsid w:val="5D244E40"/>
    <w:rsid w:val="5D2C42B6"/>
    <w:rsid w:val="5D2C6CA6"/>
    <w:rsid w:val="5D2D2508"/>
    <w:rsid w:val="5D354810"/>
    <w:rsid w:val="5D414B26"/>
    <w:rsid w:val="5D4229E2"/>
    <w:rsid w:val="5D4B6481"/>
    <w:rsid w:val="5D4C0CBF"/>
    <w:rsid w:val="5D50269A"/>
    <w:rsid w:val="5D515AF9"/>
    <w:rsid w:val="5D543F38"/>
    <w:rsid w:val="5D573C36"/>
    <w:rsid w:val="5D605245"/>
    <w:rsid w:val="5D663C6C"/>
    <w:rsid w:val="5D6A4264"/>
    <w:rsid w:val="5D6B74D4"/>
    <w:rsid w:val="5D701C98"/>
    <w:rsid w:val="5D7363FF"/>
    <w:rsid w:val="5D740D7D"/>
    <w:rsid w:val="5D741A0F"/>
    <w:rsid w:val="5D7C523D"/>
    <w:rsid w:val="5D7D7450"/>
    <w:rsid w:val="5D7D7F0B"/>
    <w:rsid w:val="5D8B6D6E"/>
    <w:rsid w:val="5D8F6B77"/>
    <w:rsid w:val="5D8F6D1E"/>
    <w:rsid w:val="5D927B2A"/>
    <w:rsid w:val="5D9978C0"/>
    <w:rsid w:val="5D9F0F2C"/>
    <w:rsid w:val="5DA425D2"/>
    <w:rsid w:val="5DA76197"/>
    <w:rsid w:val="5DA87DE0"/>
    <w:rsid w:val="5DAE3B04"/>
    <w:rsid w:val="5DB7095E"/>
    <w:rsid w:val="5DB81DEE"/>
    <w:rsid w:val="5DB94823"/>
    <w:rsid w:val="5DBE5856"/>
    <w:rsid w:val="5DC064EF"/>
    <w:rsid w:val="5DCA244C"/>
    <w:rsid w:val="5DCA41FA"/>
    <w:rsid w:val="5DCC140C"/>
    <w:rsid w:val="5DCD5A99"/>
    <w:rsid w:val="5DD2537E"/>
    <w:rsid w:val="5DD763CB"/>
    <w:rsid w:val="5DD970EE"/>
    <w:rsid w:val="5DDB5030"/>
    <w:rsid w:val="5DDF7554"/>
    <w:rsid w:val="5DE828D3"/>
    <w:rsid w:val="5DEA03F9"/>
    <w:rsid w:val="5DEA21A7"/>
    <w:rsid w:val="5DEC5CF5"/>
    <w:rsid w:val="5DEF1C64"/>
    <w:rsid w:val="5DEF3C61"/>
    <w:rsid w:val="5DF66A37"/>
    <w:rsid w:val="5DF82331"/>
    <w:rsid w:val="5DF836E0"/>
    <w:rsid w:val="5DFB0858"/>
    <w:rsid w:val="5E0639D5"/>
    <w:rsid w:val="5E0648A7"/>
    <w:rsid w:val="5E0842DE"/>
    <w:rsid w:val="5E0A6232"/>
    <w:rsid w:val="5E1D0E75"/>
    <w:rsid w:val="5E1E4546"/>
    <w:rsid w:val="5E200792"/>
    <w:rsid w:val="5E235411"/>
    <w:rsid w:val="5E2467F1"/>
    <w:rsid w:val="5E2F0BBB"/>
    <w:rsid w:val="5E3E59B5"/>
    <w:rsid w:val="5E4A56CF"/>
    <w:rsid w:val="5E4C28F7"/>
    <w:rsid w:val="5E4E4E2C"/>
    <w:rsid w:val="5E524E52"/>
    <w:rsid w:val="5E5427AC"/>
    <w:rsid w:val="5E5F0DE7"/>
    <w:rsid w:val="5E624433"/>
    <w:rsid w:val="5E6261E1"/>
    <w:rsid w:val="5E653F23"/>
    <w:rsid w:val="5E6737F7"/>
    <w:rsid w:val="5E673B90"/>
    <w:rsid w:val="5E677C9B"/>
    <w:rsid w:val="5E6C52B2"/>
    <w:rsid w:val="5E6D4A94"/>
    <w:rsid w:val="5E6E102A"/>
    <w:rsid w:val="5E6F431A"/>
    <w:rsid w:val="5E7359CB"/>
    <w:rsid w:val="5E7423B8"/>
    <w:rsid w:val="5E766130"/>
    <w:rsid w:val="5E767EDE"/>
    <w:rsid w:val="5E785A05"/>
    <w:rsid w:val="5E7A1A48"/>
    <w:rsid w:val="5E7A5C21"/>
    <w:rsid w:val="5E7D126D"/>
    <w:rsid w:val="5E800339"/>
    <w:rsid w:val="5E8029B8"/>
    <w:rsid w:val="5E82439A"/>
    <w:rsid w:val="5E8545C5"/>
    <w:rsid w:val="5E8D29CF"/>
    <w:rsid w:val="5E8E5228"/>
    <w:rsid w:val="5E993BCD"/>
    <w:rsid w:val="5E9978C4"/>
    <w:rsid w:val="5E9E59FE"/>
    <w:rsid w:val="5EA20CD3"/>
    <w:rsid w:val="5EA22A81"/>
    <w:rsid w:val="5EA66A16"/>
    <w:rsid w:val="5EA976A1"/>
    <w:rsid w:val="5EB17168"/>
    <w:rsid w:val="5EB231FE"/>
    <w:rsid w:val="5EB7311E"/>
    <w:rsid w:val="5EB731EF"/>
    <w:rsid w:val="5EB904CA"/>
    <w:rsid w:val="5EBB1D95"/>
    <w:rsid w:val="5EBB593A"/>
    <w:rsid w:val="5EC073AC"/>
    <w:rsid w:val="5EC3421A"/>
    <w:rsid w:val="5EC62C14"/>
    <w:rsid w:val="5EC74A70"/>
    <w:rsid w:val="5ECC1ABB"/>
    <w:rsid w:val="5ECC5D50"/>
    <w:rsid w:val="5ECE3876"/>
    <w:rsid w:val="5ECE6501"/>
    <w:rsid w:val="5ED846F5"/>
    <w:rsid w:val="5EDA046D"/>
    <w:rsid w:val="5EE65064"/>
    <w:rsid w:val="5EEB48B7"/>
    <w:rsid w:val="5EEC63F2"/>
    <w:rsid w:val="5EEE3EA4"/>
    <w:rsid w:val="5EF808F3"/>
    <w:rsid w:val="5EFA3DA4"/>
    <w:rsid w:val="5F0A4CF2"/>
    <w:rsid w:val="5F0F66F3"/>
    <w:rsid w:val="5F13124C"/>
    <w:rsid w:val="5F1466A2"/>
    <w:rsid w:val="5F1A2B43"/>
    <w:rsid w:val="5F1C59E2"/>
    <w:rsid w:val="5F2922AC"/>
    <w:rsid w:val="5F2B7405"/>
    <w:rsid w:val="5F2E2173"/>
    <w:rsid w:val="5F304909"/>
    <w:rsid w:val="5F332E27"/>
    <w:rsid w:val="5F3C6647"/>
    <w:rsid w:val="5F4179E1"/>
    <w:rsid w:val="5F440FE2"/>
    <w:rsid w:val="5F49318B"/>
    <w:rsid w:val="5F4C495A"/>
    <w:rsid w:val="5F4D122D"/>
    <w:rsid w:val="5F546472"/>
    <w:rsid w:val="5F577D10"/>
    <w:rsid w:val="5F58537A"/>
    <w:rsid w:val="5F5C5326"/>
    <w:rsid w:val="5F5E602E"/>
    <w:rsid w:val="5F6071CC"/>
    <w:rsid w:val="5F6441DB"/>
    <w:rsid w:val="5F6661A5"/>
    <w:rsid w:val="5F6D12E1"/>
    <w:rsid w:val="5F7323C4"/>
    <w:rsid w:val="5F7345CD"/>
    <w:rsid w:val="5F751F44"/>
    <w:rsid w:val="5F7C1100"/>
    <w:rsid w:val="5F814D8D"/>
    <w:rsid w:val="5F8D3732"/>
    <w:rsid w:val="5F98304D"/>
    <w:rsid w:val="5F993E84"/>
    <w:rsid w:val="5F9C5723"/>
    <w:rsid w:val="5FA55A28"/>
    <w:rsid w:val="5FB817E0"/>
    <w:rsid w:val="5FB837BB"/>
    <w:rsid w:val="5FBC0493"/>
    <w:rsid w:val="5FBC5A2C"/>
    <w:rsid w:val="5FBC7B73"/>
    <w:rsid w:val="5FBE38EB"/>
    <w:rsid w:val="5FBF2771"/>
    <w:rsid w:val="5FC237B3"/>
    <w:rsid w:val="5FD17AC2"/>
    <w:rsid w:val="5FD2383A"/>
    <w:rsid w:val="5FD517CA"/>
    <w:rsid w:val="5FD703C0"/>
    <w:rsid w:val="5FD924D3"/>
    <w:rsid w:val="5FE313EA"/>
    <w:rsid w:val="5FE34E8A"/>
    <w:rsid w:val="5FE570CA"/>
    <w:rsid w:val="5FE73087"/>
    <w:rsid w:val="5FEA2932"/>
    <w:rsid w:val="5FEA54BF"/>
    <w:rsid w:val="5FEB2206"/>
    <w:rsid w:val="5FEB3D54"/>
    <w:rsid w:val="5FEB6469"/>
    <w:rsid w:val="5FEB66AA"/>
    <w:rsid w:val="5FEC766E"/>
    <w:rsid w:val="5FEE3E15"/>
    <w:rsid w:val="5FEF71E0"/>
    <w:rsid w:val="5FF53085"/>
    <w:rsid w:val="600532C8"/>
    <w:rsid w:val="600F2399"/>
    <w:rsid w:val="60107EBF"/>
    <w:rsid w:val="60114363"/>
    <w:rsid w:val="601648EE"/>
    <w:rsid w:val="601916B0"/>
    <w:rsid w:val="601B1EE1"/>
    <w:rsid w:val="601C5221"/>
    <w:rsid w:val="601E082E"/>
    <w:rsid w:val="60220FA6"/>
    <w:rsid w:val="60234096"/>
    <w:rsid w:val="60250735"/>
    <w:rsid w:val="602F2A3B"/>
    <w:rsid w:val="602F6597"/>
    <w:rsid w:val="60362996"/>
    <w:rsid w:val="60363DC9"/>
    <w:rsid w:val="603B13E0"/>
    <w:rsid w:val="603F31FC"/>
    <w:rsid w:val="604069F6"/>
    <w:rsid w:val="6042008A"/>
    <w:rsid w:val="6046338E"/>
    <w:rsid w:val="604653C4"/>
    <w:rsid w:val="60487659"/>
    <w:rsid w:val="604D741A"/>
    <w:rsid w:val="605325BC"/>
    <w:rsid w:val="60563B24"/>
    <w:rsid w:val="60566219"/>
    <w:rsid w:val="605E571B"/>
    <w:rsid w:val="606049A2"/>
    <w:rsid w:val="60610ABE"/>
    <w:rsid w:val="6061247B"/>
    <w:rsid w:val="60617580"/>
    <w:rsid w:val="606306D7"/>
    <w:rsid w:val="6065335A"/>
    <w:rsid w:val="60664487"/>
    <w:rsid w:val="6067080C"/>
    <w:rsid w:val="606A3A73"/>
    <w:rsid w:val="606A5A80"/>
    <w:rsid w:val="606A75CF"/>
    <w:rsid w:val="606E3738"/>
    <w:rsid w:val="6070010A"/>
    <w:rsid w:val="60802D94"/>
    <w:rsid w:val="60822B6A"/>
    <w:rsid w:val="608D150F"/>
    <w:rsid w:val="609046E9"/>
    <w:rsid w:val="6097534A"/>
    <w:rsid w:val="609B1E7E"/>
    <w:rsid w:val="609C3792"/>
    <w:rsid w:val="609D5BF6"/>
    <w:rsid w:val="60A46F85"/>
    <w:rsid w:val="60A72C5D"/>
    <w:rsid w:val="60AB44A9"/>
    <w:rsid w:val="60B53DBD"/>
    <w:rsid w:val="60C211B9"/>
    <w:rsid w:val="60C846E2"/>
    <w:rsid w:val="60C8611C"/>
    <w:rsid w:val="60CA4511"/>
    <w:rsid w:val="60CA62C0"/>
    <w:rsid w:val="60CC405A"/>
    <w:rsid w:val="60CF5FA3"/>
    <w:rsid w:val="60D11D6F"/>
    <w:rsid w:val="60D1764E"/>
    <w:rsid w:val="60DF3F1A"/>
    <w:rsid w:val="60E03D35"/>
    <w:rsid w:val="60E530F9"/>
    <w:rsid w:val="60E90E3C"/>
    <w:rsid w:val="60EA0710"/>
    <w:rsid w:val="60EA5F82"/>
    <w:rsid w:val="60EC2ED3"/>
    <w:rsid w:val="60EF1CD7"/>
    <w:rsid w:val="60F03F78"/>
    <w:rsid w:val="60F15F42"/>
    <w:rsid w:val="60F638AA"/>
    <w:rsid w:val="60F9500E"/>
    <w:rsid w:val="60FD48E7"/>
    <w:rsid w:val="60FF065F"/>
    <w:rsid w:val="61025A59"/>
    <w:rsid w:val="61071918"/>
    <w:rsid w:val="6107535B"/>
    <w:rsid w:val="61090428"/>
    <w:rsid w:val="610C6779"/>
    <w:rsid w:val="611063C8"/>
    <w:rsid w:val="61120392"/>
    <w:rsid w:val="61137C66"/>
    <w:rsid w:val="61181721"/>
    <w:rsid w:val="611A0FF5"/>
    <w:rsid w:val="611C2813"/>
    <w:rsid w:val="611F2AAF"/>
    <w:rsid w:val="611F6F3D"/>
    <w:rsid w:val="612124F2"/>
    <w:rsid w:val="612B547F"/>
    <w:rsid w:val="61342455"/>
    <w:rsid w:val="61354081"/>
    <w:rsid w:val="613876CD"/>
    <w:rsid w:val="6142054C"/>
    <w:rsid w:val="61430134"/>
    <w:rsid w:val="614442C4"/>
    <w:rsid w:val="61451319"/>
    <w:rsid w:val="614A2294"/>
    <w:rsid w:val="6151078F"/>
    <w:rsid w:val="61534507"/>
    <w:rsid w:val="61546839"/>
    <w:rsid w:val="61564461"/>
    <w:rsid w:val="61573FF7"/>
    <w:rsid w:val="61594884"/>
    <w:rsid w:val="615B093E"/>
    <w:rsid w:val="615F4C5A"/>
    <w:rsid w:val="61650413"/>
    <w:rsid w:val="61655E91"/>
    <w:rsid w:val="61665FE8"/>
    <w:rsid w:val="61742632"/>
    <w:rsid w:val="617604C7"/>
    <w:rsid w:val="61776447"/>
    <w:rsid w:val="617F0B87"/>
    <w:rsid w:val="61814121"/>
    <w:rsid w:val="618D7A19"/>
    <w:rsid w:val="61900069"/>
    <w:rsid w:val="61917F28"/>
    <w:rsid w:val="619F3565"/>
    <w:rsid w:val="61A00915"/>
    <w:rsid w:val="61A80CA9"/>
    <w:rsid w:val="61A82AA5"/>
    <w:rsid w:val="61AB7E9F"/>
    <w:rsid w:val="61AF3E33"/>
    <w:rsid w:val="61B401A6"/>
    <w:rsid w:val="61B56F70"/>
    <w:rsid w:val="61B9080E"/>
    <w:rsid w:val="61BC423C"/>
    <w:rsid w:val="61BF394A"/>
    <w:rsid w:val="61C80A6F"/>
    <w:rsid w:val="61C97D5B"/>
    <w:rsid w:val="61D07906"/>
    <w:rsid w:val="61D930FF"/>
    <w:rsid w:val="61DA53C6"/>
    <w:rsid w:val="61DA69D6"/>
    <w:rsid w:val="61E215D8"/>
    <w:rsid w:val="61E6507C"/>
    <w:rsid w:val="61ED72A2"/>
    <w:rsid w:val="61EE49A3"/>
    <w:rsid w:val="61EF4230"/>
    <w:rsid w:val="61F331FC"/>
    <w:rsid w:val="61FC458E"/>
    <w:rsid w:val="6209721C"/>
    <w:rsid w:val="620E233A"/>
    <w:rsid w:val="62165C60"/>
    <w:rsid w:val="621B3775"/>
    <w:rsid w:val="621B4E2D"/>
    <w:rsid w:val="621F7DB4"/>
    <w:rsid w:val="6221380B"/>
    <w:rsid w:val="62245C92"/>
    <w:rsid w:val="622540F5"/>
    <w:rsid w:val="62261C1B"/>
    <w:rsid w:val="62297D08"/>
    <w:rsid w:val="623325FE"/>
    <w:rsid w:val="62332841"/>
    <w:rsid w:val="62364782"/>
    <w:rsid w:val="62426A55"/>
    <w:rsid w:val="62465E1A"/>
    <w:rsid w:val="624803BE"/>
    <w:rsid w:val="624D6028"/>
    <w:rsid w:val="625422E5"/>
    <w:rsid w:val="625A63D8"/>
    <w:rsid w:val="625E3163"/>
    <w:rsid w:val="625E6616"/>
    <w:rsid w:val="62611240"/>
    <w:rsid w:val="62612C54"/>
    <w:rsid w:val="6263685B"/>
    <w:rsid w:val="626C53C9"/>
    <w:rsid w:val="626D11D6"/>
    <w:rsid w:val="626F35C2"/>
    <w:rsid w:val="62714F42"/>
    <w:rsid w:val="62735116"/>
    <w:rsid w:val="62740BD9"/>
    <w:rsid w:val="627604AD"/>
    <w:rsid w:val="62791D4B"/>
    <w:rsid w:val="62792EC3"/>
    <w:rsid w:val="62797F9D"/>
    <w:rsid w:val="627A1C89"/>
    <w:rsid w:val="627F39AD"/>
    <w:rsid w:val="6280757E"/>
    <w:rsid w:val="62831765"/>
    <w:rsid w:val="62881E22"/>
    <w:rsid w:val="62894684"/>
    <w:rsid w:val="628C5F22"/>
    <w:rsid w:val="628F5A13"/>
    <w:rsid w:val="62980A4D"/>
    <w:rsid w:val="629D23A6"/>
    <w:rsid w:val="62A019CE"/>
    <w:rsid w:val="62A300A3"/>
    <w:rsid w:val="62A7287B"/>
    <w:rsid w:val="62B114E5"/>
    <w:rsid w:val="62B2525D"/>
    <w:rsid w:val="62B2785F"/>
    <w:rsid w:val="62B504B8"/>
    <w:rsid w:val="62BA1FB9"/>
    <w:rsid w:val="62BB6808"/>
    <w:rsid w:val="62C23BB2"/>
    <w:rsid w:val="62C54F90"/>
    <w:rsid w:val="62C64672"/>
    <w:rsid w:val="62C751AC"/>
    <w:rsid w:val="62C84A81"/>
    <w:rsid w:val="62CE653B"/>
    <w:rsid w:val="62D82F16"/>
    <w:rsid w:val="62DE6052"/>
    <w:rsid w:val="62E53D85"/>
    <w:rsid w:val="62EE1EAF"/>
    <w:rsid w:val="62EE44E7"/>
    <w:rsid w:val="62EF58E5"/>
    <w:rsid w:val="62F17D3F"/>
    <w:rsid w:val="62F31AFE"/>
    <w:rsid w:val="62F933A7"/>
    <w:rsid w:val="62FD2201"/>
    <w:rsid w:val="63051831"/>
    <w:rsid w:val="63060D49"/>
    <w:rsid w:val="63096E1F"/>
    <w:rsid w:val="630C48EC"/>
    <w:rsid w:val="630F1D07"/>
    <w:rsid w:val="6310019E"/>
    <w:rsid w:val="63153611"/>
    <w:rsid w:val="63154017"/>
    <w:rsid w:val="63177CC7"/>
    <w:rsid w:val="631A6AFE"/>
    <w:rsid w:val="632553CC"/>
    <w:rsid w:val="632D7594"/>
    <w:rsid w:val="63333538"/>
    <w:rsid w:val="6333639E"/>
    <w:rsid w:val="63351AF5"/>
    <w:rsid w:val="63355B36"/>
    <w:rsid w:val="63373553"/>
    <w:rsid w:val="633F63D1"/>
    <w:rsid w:val="63422A85"/>
    <w:rsid w:val="63460E40"/>
    <w:rsid w:val="63495BC1"/>
    <w:rsid w:val="63500CFE"/>
    <w:rsid w:val="635278AB"/>
    <w:rsid w:val="63574534"/>
    <w:rsid w:val="635B58F5"/>
    <w:rsid w:val="635C01C0"/>
    <w:rsid w:val="635D78BF"/>
    <w:rsid w:val="63690012"/>
    <w:rsid w:val="636B7DB0"/>
    <w:rsid w:val="636E5628"/>
    <w:rsid w:val="6379568A"/>
    <w:rsid w:val="637F7835"/>
    <w:rsid w:val="6387078A"/>
    <w:rsid w:val="63872EA1"/>
    <w:rsid w:val="63881DBD"/>
    <w:rsid w:val="638A3090"/>
    <w:rsid w:val="63936F94"/>
    <w:rsid w:val="6394356A"/>
    <w:rsid w:val="639A01CB"/>
    <w:rsid w:val="639A466F"/>
    <w:rsid w:val="639D5F0D"/>
    <w:rsid w:val="639E52BD"/>
    <w:rsid w:val="63A91A74"/>
    <w:rsid w:val="63A92582"/>
    <w:rsid w:val="63B53257"/>
    <w:rsid w:val="63B90378"/>
    <w:rsid w:val="63BA086D"/>
    <w:rsid w:val="63BB75EA"/>
    <w:rsid w:val="63BC0574"/>
    <w:rsid w:val="63C35974"/>
    <w:rsid w:val="63C61B2C"/>
    <w:rsid w:val="63C85B42"/>
    <w:rsid w:val="63CB4828"/>
    <w:rsid w:val="63CB65D6"/>
    <w:rsid w:val="63D354F9"/>
    <w:rsid w:val="63D40BE9"/>
    <w:rsid w:val="63DB17FB"/>
    <w:rsid w:val="63E90FDE"/>
    <w:rsid w:val="63E91153"/>
    <w:rsid w:val="63EB4B5E"/>
    <w:rsid w:val="63F36710"/>
    <w:rsid w:val="63FC2885"/>
    <w:rsid w:val="63FE69AC"/>
    <w:rsid w:val="63FF2724"/>
    <w:rsid w:val="64025D70"/>
    <w:rsid w:val="6403371E"/>
    <w:rsid w:val="64102431"/>
    <w:rsid w:val="641206A9"/>
    <w:rsid w:val="6421269A"/>
    <w:rsid w:val="64215987"/>
    <w:rsid w:val="642360A1"/>
    <w:rsid w:val="64236413"/>
    <w:rsid w:val="642B52C7"/>
    <w:rsid w:val="642D103F"/>
    <w:rsid w:val="642D7291"/>
    <w:rsid w:val="642E0972"/>
    <w:rsid w:val="64384B53"/>
    <w:rsid w:val="643A6481"/>
    <w:rsid w:val="643E324C"/>
    <w:rsid w:val="64485E79"/>
    <w:rsid w:val="644C3595"/>
    <w:rsid w:val="644D3C9F"/>
    <w:rsid w:val="64521EF6"/>
    <w:rsid w:val="64552344"/>
    <w:rsid w:val="64597892"/>
    <w:rsid w:val="646147C9"/>
    <w:rsid w:val="64630F05"/>
    <w:rsid w:val="646500EB"/>
    <w:rsid w:val="646B1B68"/>
    <w:rsid w:val="64713622"/>
    <w:rsid w:val="647829C0"/>
    <w:rsid w:val="647D7AE1"/>
    <w:rsid w:val="64803865"/>
    <w:rsid w:val="648C2E47"/>
    <w:rsid w:val="648E0DA5"/>
    <w:rsid w:val="649315FC"/>
    <w:rsid w:val="64950FB0"/>
    <w:rsid w:val="649B069F"/>
    <w:rsid w:val="64A07A63"/>
    <w:rsid w:val="64A5243A"/>
    <w:rsid w:val="64A74857"/>
    <w:rsid w:val="64AA0503"/>
    <w:rsid w:val="64AA6B34"/>
    <w:rsid w:val="64AB6AB6"/>
    <w:rsid w:val="64AD2180"/>
    <w:rsid w:val="64B33C3A"/>
    <w:rsid w:val="64B74DAD"/>
    <w:rsid w:val="64BC1173"/>
    <w:rsid w:val="64C76F07"/>
    <w:rsid w:val="64C86DA3"/>
    <w:rsid w:val="64CB0ED6"/>
    <w:rsid w:val="64D140C0"/>
    <w:rsid w:val="64D911C7"/>
    <w:rsid w:val="64DD2A65"/>
    <w:rsid w:val="64DF14C9"/>
    <w:rsid w:val="64E36E7E"/>
    <w:rsid w:val="64EB0075"/>
    <w:rsid w:val="64F531DE"/>
    <w:rsid w:val="64F61D79"/>
    <w:rsid w:val="64F8789F"/>
    <w:rsid w:val="64FB262F"/>
    <w:rsid w:val="64FD442E"/>
    <w:rsid w:val="650E0E71"/>
    <w:rsid w:val="650F6997"/>
    <w:rsid w:val="651D7306"/>
    <w:rsid w:val="65221770"/>
    <w:rsid w:val="6527465B"/>
    <w:rsid w:val="652F1D8E"/>
    <w:rsid w:val="652F7039"/>
    <w:rsid w:val="65373578"/>
    <w:rsid w:val="65385EEE"/>
    <w:rsid w:val="653B59DE"/>
    <w:rsid w:val="653E2AE1"/>
    <w:rsid w:val="653F727C"/>
    <w:rsid w:val="654725D5"/>
    <w:rsid w:val="654778A5"/>
    <w:rsid w:val="65493C57"/>
    <w:rsid w:val="65495D94"/>
    <w:rsid w:val="6549634D"/>
    <w:rsid w:val="654D4A8A"/>
    <w:rsid w:val="654F7C0D"/>
    <w:rsid w:val="65594C9F"/>
    <w:rsid w:val="656839B7"/>
    <w:rsid w:val="65766A16"/>
    <w:rsid w:val="65805B12"/>
    <w:rsid w:val="65856C59"/>
    <w:rsid w:val="65884517"/>
    <w:rsid w:val="65892E73"/>
    <w:rsid w:val="65923C10"/>
    <w:rsid w:val="65924CA9"/>
    <w:rsid w:val="65931376"/>
    <w:rsid w:val="659866EF"/>
    <w:rsid w:val="659F41BF"/>
    <w:rsid w:val="65A13A93"/>
    <w:rsid w:val="65A90B99"/>
    <w:rsid w:val="65AC2438"/>
    <w:rsid w:val="65AE4402"/>
    <w:rsid w:val="65B01F28"/>
    <w:rsid w:val="65B24199"/>
    <w:rsid w:val="65B512EC"/>
    <w:rsid w:val="65B71508"/>
    <w:rsid w:val="65B84DA6"/>
    <w:rsid w:val="65BF59E0"/>
    <w:rsid w:val="65C71020"/>
    <w:rsid w:val="65D23F1B"/>
    <w:rsid w:val="65D61E7B"/>
    <w:rsid w:val="65D63464"/>
    <w:rsid w:val="65DA6FA5"/>
    <w:rsid w:val="65E10333"/>
    <w:rsid w:val="65E25CC5"/>
    <w:rsid w:val="65E731BC"/>
    <w:rsid w:val="65F22BB6"/>
    <w:rsid w:val="65F71905"/>
    <w:rsid w:val="65F8742B"/>
    <w:rsid w:val="65FB7221"/>
    <w:rsid w:val="65FF5657"/>
    <w:rsid w:val="660B1854"/>
    <w:rsid w:val="660D17D5"/>
    <w:rsid w:val="66124991"/>
    <w:rsid w:val="66195D1F"/>
    <w:rsid w:val="661A1A97"/>
    <w:rsid w:val="661A55F3"/>
    <w:rsid w:val="662621EA"/>
    <w:rsid w:val="662C247A"/>
    <w:rsid w:val="66326EDF"/>
    <w:rsid w:val="6639016F"/>
    <w:rsid w:val="663E5786"/>
    <w:rsid w:val="663E7534"/>
    <w:rsid w:val="66417024"/>
    <w:rsid w:val="66455B92"/>
    <w:rsid w:val="66491D7F"/>
    <w:rsid w:val="664B1712"/>
    <w:rsid w:val="66595ACA"/>
    <w:rsid w:val="665C06E5"/>
    <w:rsid w:val="665C5C0C"/>
    <w:rsid w:val="665E1984"/>
    <w:rsid w:val="665F56FC"/>
    <w:rsid w:val="666135C9"/>
    <w:rsid w:val="6661429E"/>
    <w:rsid w:val="66630D48"/>
    <w:rsid w:val="66641D46"/>
    <w:rsid w:val="66645AD8"/>
    <w:rsid w:val="666557B4"/>
    <w:rsid w:val="66682803"/>
    <w:rsid w:val="6677281C"/>
    <w:rsid w:val="668138C4"/>
    <w:rsid w:val="668313EA"/>
    <w:rsid w:val="66860EDB"/>
    <w:rsid w:val="66862C89"/>
    <w:rsid w:val="66882EA5"/>
    <w:rsid w:val="66920B45"/>
    <w:rsid w:val="669C06FE"/>
    <w:rsid w:val="669F51B0"/>
    <w:rsid w:val="66A55805"/>
    <w:rsid w:val="66A81C0C"/>
    <w:rsid w:val="66B02D6E"/>
    <w:rsid w:val="66B3296E"/>
    <w:rsid w:val="66B71094"/>
    <w:rsid w:val="66B9077C"/>
    <w:rsid w:val="66BE4483"/>
    <w:rsid w:val="66BE68C6"/>
    <w:rsid w:val="66C8504F"/>
    <w:rsid w:val="66C86F59"/>
    <w:rsid w:val="66CC2D91"/>
    <w:rsid w:val="66D734E4"/>
    <w:rsid w:val="66D9725C"/>
    <w:rsid w:val="66EA76BB"/>
    <w:rsid w:val="66EF082E"/>
    <w:rsid w:val="66EF4CD2"/>
    <w:rsid w:val="66F75934"/>
    <w:rsid w:val="66FA1A26"/>
    <w:rsid w:val="66FC2F4B"/>
    <w:rsid w:val="66FF2BF6"/>
    <w:rsid w:val="67000C8D"/>
    <w:rsid w:val="670538BB"/>
    <w:rsid w:val="670A5668"/>
    <w:rsid w:val="671328B2"/>
    <w:rsid w:val="671A0E2B"/>
    <w:rsid w:val="671B3BBF"/>
    <w:rsid w:val="671D619A"/>
    <w:rsid w:val="671F124A"/>
    <w:rsid w:val="672243F5"/>
    <w:rsid w:val="672253DF"/>
    <w:rsid w:val="67277FC8"/>
    <w:rsid w:val="672D7CE1"/>
    <w:rsid w:val="67300F54"/>
    <w:rsid w:val="6730468A"/>
    <w:rsid w:val="673646AF"/>
    <w:rsid w:val="67395F4D"/>
    <w:rsid w:val="673D77EB"/>
    <w:rsid w:val="67431B2C"/>
    <w:rsid w:val="67446DCC"/>
    <w:rsid w:val="67463BA2"/>
    <w:rsid w:val="674E13D6"/>
    <w:rsid w:val="6755062E"/>
    <w:rsid w:val="675608AD"/>
    <w:rsid w:val="675910DB"/>
    <w:rsid w:val="676236F6"/>
    <w:rsid w:val="67632B14"/>
    <w:rsid w:val="676C00D0"/>
    <w:rsid w:val="67726ABA"/>
    <w:rsid w:val="677553E5"/>
    <w:rsid w:val="67770271"/>
    <w:rsid w:val="6777277D"/>
    <w:rsid w:val="677A045A"/>
    <w:rsid w:val="677A33C6"/>
    <w:rsid w:val="678216A2"/>
    <w:rsid w:val="678323FA"/>
    <w:rsid w:val="67937849"/>
    <w:rsid w:val="679D305A"/>
    <w:rsid w:val="67A21D44"/>
    <w:rsid w:val="67A535E2"/>
    <w:rsid w:val="67A62032"/>
    <w:rsid w:val="67A627FC"/>
    <w:rsid w:val="67A63E75"/>
    <w:rsid w:val="67AC4971"/>
    <w:rsid w:val="67B13D35"/>
    <w:rsid w:val="67B331D4"/>
    <w:rsid w:val="67B97DDD"/>
    <w:rsid w:val="67BC1058"/>
    <w:rsid w:val="67C15585"/>
    <w:rsid w:val="67C43A69"/>
    <w:rsid w:val="67C77A02"/>
    <w:rsid w:val="67CE0D8B"/>
    <w:rsid w:val="67CE2B39"/>
    <w:rsid w:val="67CE48E7"/>
    <w:rsid w:val="67D00A9A"/>
    <w:rsid w:val="67D33082"/>
    <w:rsid w:val="67D82878"/>
    <w:rsid w:val="67DB10A9"/>
    <w:rsid w:val="67E4235D"/>
    <w:rsid w:val="67E42796"/>
    <w:rsid w:val="67EB4F70"/>
    <w:rsid w:val="67EC5907"/>
    <w:rsid w:val="67EF6E35"/>
    <w:rsid w:val="67F104C5"/>
    <w:rsid w:val="67F325A0"/>
    <w:rsid w:val="67F56309"/>
    <w:rsid w:val="67F65BEC"/>
    <w:rsid w:val="67FB3B20"/>
    <w:rsid w:val="67FD6F7B"/>
    <w:rsid w:val="68012F0F"/>
    <w:rsid w:val="68030A35"/>
    <w:rsid w:val="680D7083"/>
    <w:rsid w:val="68120C78"/>
    <w:rsid w:val="68132FD8"/>
    <w:rsid w:val="68183DB4"/>
    <w:rsid w:val="681E586F"/>
    <w:rsid w:val="681F6961"/>
    <w:rsid w:val="682D3D04"/>
    <w:rsid w:val="682D7E48"/>
    <w:rsid w:val="68336E40"/>
    <w:rsid w:val="6837021F"/>
    <w:rsid w:val="68427425"/>
    <w:rsid w:val="685272C6"/>
    <w:rsid w:val="685279F5"/>
    <w:rsid w:val="68550B65"/>
    <w:rsid w:val="68583E7F"/>
    <w:rsid w:val="685B4CC8"/>
    <w:rsid w:val="685C1131"/>
    <w:rsid w:val="685C6397"/>
    <w:rsid w:val="68610A2F"/>
    <w:rsid w:val="68664B20"/>
    <w:rsid w:val="68692862"/>
    <w:rsid w:val="686E537D"/>
    <w:rsid w:val="687C07E7"/>
    <w:rsid w:val="6880194F"/>
    <w:rsid w:val="688031D2"/>
    <w:rsid w:val="68805514"/>
    <w:rsid w:val="68813EC0"/>
    <w:rsid w:val="68833EB7"/>
    <w:rsid w:val="6884144A"/>
    <w:rsid w:val="688558EE"/>
    <w:rsid w:val="68860563"/>
    <w:rsid w:val="68890DEB"/>
    <w:rsid w:val="688B4CC4"/>
    <w:rsid w:val="689002BB"/>
    <w:rsid w:val="68945B24"/>
    <w:rsid w:val="6897117D"/>
    <w:rsid w:val="689A0C6D"/>
    <w:rsid w:val="689B6EBF"/>
    <w:rsid w:val="68A22D29"/>
    <w:rsid w:val="68A4036B"/>
    <w:rsid w:val="68A8259B"/>
    <w:rsid w:val="68AB2E7A"/>
    <w:rsid w:val="68AF1E4F"/>
    <w:rsid w:val="68B63CF9"/>
    <w:rsid w:val="68B7181F"/>
    <w:rsid w:val="68B72682"/>
    <w:rsid w:val="68B86F17"/>
    <w:rsid w:val="68B95597"/>
    <w:rsid w:val="68BA40E8"/>
    <w:rsid w:val="68BD6966"/>
    <w:rsid w:val="68BE5B6E"/>
    <w:rsid w:val="68BF38FE"/>
    <w:rsid w:val="68C238AD"/>
    <w:rsid w:val="68C25ABF"/>
    <w:rsid w:val="68C277D2"/>
    <w:rsid w:val="68C51E77"/>
    <w:rsid w:val="68C857DA"/>
    <w:rsid w:val="68CC3702"/>
    <w:rsid w:val="68D777CC"/>
    <w:rsid w:val="68DE33AB"/>
    <w:rsid w:val="68E00D76"/>
    <w:rsid w:val="68E150AF"/>
    <w:rsid w:val="68E27EF5"/>
    <w:rsid w:val="68E51EE8"/>
    <w:rsid w:val="68EA5751"/>
    <w:rsid w:val="68EF0FB9"/>
    <w:rsid w:val="68F4037D"/>
    <w:rsid w:val="68F5366E"/>
    <w:rsid w:val="68F61F57"/>
    <w:rsid w:val="68F90596"/>
    <w:rsid w:val="68FD06DD"/>
    <w:rsid w:val="69025709"/>
    <w:rsid w:val="690577E1"/>
    <w:rsid w:val="69084E10"/>
    <w:rsid w:val="691210A7"/>
    <w:rsid w:val="69141B3A"/>
    <w:rsid w:val="691427CE"/>
    <w:rsid w:val="691539D0"/>
    <w:rsid w:val="691722BE"/>
    <w:rsid w:val="69197DE4"/>
    <w:rsid w:val="691E189E"/>
    <w:rsid w:val="691E779B"/>
    <w:rsid w:val="69201173"/>
    <w:rsid w:val="69221585"/>
    <w:rsid w:val="692230C9"/>
    <w:rsid w:val="69224EEB"/>
    <w:rsid w:val="692769A5"/>
    <w:rsid w:val="692E7413"/>
    <w:rsid w:val="692F50A6"/>
    <w:rsid w:val="692F7608"/>
    <w:rsid w:val="69316E2F"/>
    <w:rsid w:val="69344C1E"/>
    <w:rsid w:val="6938470E"/>
    <w:rsid w:val="693B7D5A"/>
    <w:rsid w:val="69474951"/>
    <w:rsid w:val="694E2071"/>
    <w:rsid w:val="69530704"/>
    <w:rsid w:val="69560107"/>
    <w:rsid w:val="69592C93"/>
    <w:rsid w:val="695D3B85"/>
    <w:rsid w:val="695D4175"/>
    <w:rsid w:val="696A4AE4"/>
    <w:rsid w:val="696E0FB2"/>
    <w:rsid w:val="696F4C2B"/>
    <w:rsid w:val="69735746"/>
    <w:rsid w:val="6974326C"/>
    <w:rsid w:val="69747710"/>
    <w:rsid w:val="69766163"/>
    <w:rsid w:val="697A2591"/>
    <w:rsid w:val="697A3B33"/>
    <w:rsid w:val="697C2E5E"/>
    <w:rsid w:val="69812858"/>
    <w:rsid w:val="69845BA5"/>
    <w:rsid w:val="698536CB"/>
    <w:rsid w:val="698C2CAC"/>
    <w:rsid w:val="69956028"/>
    <w:rsid w:val="69991B18"/>
    <w:rsid w:val="69992CD3"/>
    <w:rsid w:val="699B4C9D"/>
    <w:rsid w:val="69A47FF6"/>
    <w:rsid w:val="69A52698"/>
    <w:rsid w:val="69A72742"/>
    <w:rsid w:val="69A80C2B"/>
    <w:rsid w:val="69AB2414"/>
    <w:rsid w:val="69B12712"/>
    <w:rsid w:val="69B27EB0"/>
    <w:rsid w:val="69B7095D"/>
    <w:rsid w:val="69BE2739"/>
    <w:rsid w:val="69C266CE"/>
    <w:rsid w:val="69C75A92"/>
    <w:rsid w:val="69C772C7"/>
    <w:rsid w:val="69C8153F"/>
    <w:rsid w:val="69C87EB5"/>
    <w:rsid w:val="69CA10DE"/>
    <w:rsid w:val="69CD030D"/>
    <w:rsid w:val="69D2263E"/>
    <w:rsid w:val="69D30DD7"/>
    <w:rsid w:val="69D44760"/>
    <w:rsid w:val="69D53F58"/>
    <w:rsid w:val="69D57F51"/>
    <w:rsid w:val="69D63F27"/>
    <w:rsid w:val="69D73E56"/>
    <w:rsid w:val="69DA1A2F"/>
    <w:rsid w:val="69DB0B40"/>
    <w:rsid w:val="69DD764A"/>
    <w:rsid w:val="69E55F18"/>
    <w:rsid w:val="69E7198A"/>
    <w:rsid w:val="69EA352F"/>
    <w:rsid w:val="69EC54F9"/>
    <w:rsid w:val="69F560C5"/>
    <w:rsid w:val="69F85BB3"/>
    <w:rsid w:val="69FA5E67"/>
    <w:rsid w:val="69FD14B4"/>
    <w:rsid w:val="69FF522C"/>
    <w:rsid w:val="6A002C04"/>
    <w:rsid w:val="6A002D52"/>
    <w:rsid w:val="6A0E36C1"/>
    <w:rsid w:val="6A1112BF"/>
    <w:rsid w:val="6A114F5F"/>
    <w:rsid w:val="6A165E20"/>
    <w:rsid w:val="6A174E5B"/>
    <w:rsid w:val="6A2151A2"/>
    <w:rsid w:val="6A225A1C"/>
    <w:rsid w:val="6A2353BE"/>
    <w:rsid w:val="6A291030"/>
    <w:rsid w:val="6A2B0DB4"/>
    <w:rsid w:val="6A2D4F66"/>
    <w:rsid w:val="6A2E4DC7"/>
    <w:rsid w:val="6A316459"/>
    <w:rsid w:val="6A3740C7"/>
    <w:rsid w:val="6A3824EC"/>
    <w:rsid w:val="6A3F1ACC"/>
    <w:rsid w:val="6A42067F"/>
    <w:rsid w:val="6A450754"/>
    <w:rsid w:val="6A4B51FA"/>
    <w:rsid w:val="6A520EC7"/>
    <w:rsid w:val="6A55309E"/>
    <w:rsid w:val="6A554E4C"/>
    <w:rsid w:val="6A58493C"/>
    <w:rsid w:val="6A5C176D"/>
    <w:rsid w:val="6A5F3952"/>
    <w:rsid w:val="6A615EE7"/>
    <w:rsid w:val="6A6223D9"/>
    <w:rsid w:val="6A642296"/>
    <w:rsid w:val="6A6432E1"/>
    <w:rsid w:val="6A660130"/>
    <w:rsid w:val="6A687B43"/>
    <w:rsid w:val="6A6A11A8"/>
    <w:rsid w:val="6A6D6770"/>
    <w:rsid w:val="6A716339"/>
    <w:rsid w:val="6A7331CE"/>
    <w:rsid w:val="6A7A021E"/>
    <w:rsid w:val="6A7C062B"/>
    <w:rsid w:val="6A7C14DB"/>
    <w:rsid w:val="6A7F1CBD"/>
    <w:rsid w:val="6A835E5D"/>
    <w:rsid w:val="6A841BD5"/>
    <w:rsid w:val="6A9D3793"/>
    <w:rsid w:val="6AA4144F"/>
    <w:rsid w:val="6AA53D02"/>
    <w:rsid w:val="6AAB47F8"/>
    <w:rsid w:val="6AAC279F"/>
    <w:rsid w:val="6AAD6A36"/>
    <w:rsid w:val="6AAE35B3"/>
    <w:rsid w:val="6AB029CA"/>
    <w:rsid w:val="6AB42909"/>
    <w:rsid w:val="6AB853DB"/>
    <w:rsid w:val="6AB9187F"/>
    <w:rsid w:val="6ABB43D4"/>
    <w:rsid w:val="6ABC577D"/>
    <w:rsid w:val="6ABE0C43"/>
    <w:rsid w:val="6ABF6769"/>
    <w:rsid w:val="6AC36259"/>
    <w:rsid w:val="6AC36842"/>
    <w:rsid w:val="6ACA3A8C"/>
    <w:rsid w:val="6ACD4F01"/>
    <w:rsid w:val="6ACE4BFE"/>
    <w:rsid w:val="6AE461D0"/>
    <w:rsid w:val="6AE77275"/>
    <w:rsid w:val="6AEB095C"/>
    <w:rsid w:val="6AEB3A02"/>
    <w:rsid w:val="6AEC3A7A"/>
    <w:rsid w:val="6AEF704E"/>
    <w:rsid w:val="6AF25813"/>
    <w:rsid w:val="6AF50688"/>
    <w:rsid w:val="6AF63CB2"/>
    <w:rsid w:val="6AF705F9"/>
    <w:rsid w:val="6AF87E20"/>
    <w:rsid w:val="6AF91789"/>
    <w:rsid w:val="6AFF2468"/>
    <w:rsid w:val="6B00125C"/>
    <w:rsid w:val="6B016D82"/>
    <w:rsid w:val="6B0372AC"/>
    <w:rsid w:val="6B0845B4"/>
    <w:rsid w:val="6B0C5E52"/>
    <w:rsid w:val="6B0F3C47"/>
    <w:rsid w:val="6B134E8B"/>
    <w:rsid w:val="6B163AF5"/>
    <w:rsid w:val="6B170353"/>
    <w:rsid w:val="6B182A49"/>
    <w:rsid w:val="6B1E16E2"/>
    <w:rsid w:val="6B217424"/>
    <w:rsid w:val="6B23319C"/>
    <w:rsid w:val="6B2B3DFF"/>
    <w:rsid w:val="6B2C02A3"/>
    <w:rsid w:val="6B2D401B"/>
    <w:rsid w:val="6B301415"/>
    <w:rsid w:val="6B3158B9"/>
    <w:rsid w:val="6B322639"/>
    <w:rsid w:val="6B383166"/>
    <w:rsid w:val="6B3C0026"/>
    <w:rsid w:val="6B3C600C"/>
    <w:rsid w:val="6B3C7DBA"/>
    <w:rsid w:val="6B451364"/>
    <w:rsid w:val="6B586F70"/>
    <w:rsid w:val="6B59096C"/>
    <w:rsid w:val="6B5A2FD8"/>
    <w:rsid w:val="6B5B2936"/>
    <w:rsid w:val="6B5C220A"/>
    <w:rsid w:val="6B603510"/>
    <w:rsid w:val="6B663E10"/>
    <w:rsid w:val="6B670E44"/>
    <w:rsid w:val="6B7832E1"/>
    <w:rsid w:val="6B824366"/>
    <w:rsid w:val="6B857691"/>
    <w:rsid w:val="6B8754D9"/>
    <w:rsid w:val="6B924226"/>
    <w:rsid w:val="6B9320D0"/>
    <w:rsid w:val="6B9876E6"/>
    <w:rsid w:val="6B9A5D83"/>
    <w:rsid w:val="6B9D6EA6"/>
    <w:rsid w:val="6BAA566B"/>
    <w:rsid w:val="6BAF2F3B"/>
    <w:rsid w:val="6BAF67DE"/>
    <w:rsid w:val="6BB12556"/>
    <w:rsid w:val="6BB32772"/>
    <w:rsid w:val="6BB4549C"/>
    <w:rsid w:val="6BBB5183"/>
    <w:rsid w:val="6BBB58D5"/>
    <w:rsid w:val="6BBD0EFB"/>
    <w:rsid w:val="6BBD539F"/>
    <w:rsid w:val="6BC56CBE"/>
    <w:rsid w:val="6BC95A17"/>
    <w:rsid w:val="6BC95AC0"/>
    <w:rsid w:val="6BD70344"/>
    <w:rsid w:val="6BDA1BDD"/>
    <w:rsid w:val="6BDD334B"/>
    <w:rsid w:val="6BE55CF5"/>
    <w:rsid w:val="6BE741CA"/>
    <w:rsid w:val="6BE85816"/>
    <w:rsid w:val="6BF20DF1"/>
    <w:rsid w:val="6BF6265F"/>
    <w:rsid w:val="6BF87B65"/>
    <w:rsid w:val="6C027255"/>
    <w:rsid w:val="6C0905E4"/>
    <w:rsid w:val="6C0C3F48"/>
    <w:rsid w:val="6C0E5BFA"/>
    <w:rsid w:val="6C0F54CE"/>
    <w:rsid w:val="6C101972"/>
    <w:rsid w:val="6C1061DA"/>
    <w:rsid w:val="6C1332A9"/>
    <w:rsid w:val="6C1B20C5"/>
    <w:rsid w:val="6C1D408F"/>
    <w:rsid w:val="6C1E36B1"/>
    <w:rsid w:val="6C1F5711"/>
    <w:rsid w:val="6C215E63"/>
    <w:rsid w:val="6C216C1A"/>
    <w:rsid w:val="6C262F44"/>
    <w:rsid w:val="6C264CF2"/>
    <w:rsid w:val="6C265204"/>
    <w:rsid w:val="6C3A43FB"/>
    <w:rsid w:val="6C4258A4"/>
    <w:rsid w:val="6C47110C"/>
    <w:rsid w:val="6C4E3079"/>
    <w:rsid w:val="6C515AE7"/>
    <w:rsid w:val="6C517895"/>
    <w:rsid w:val="6C55259A"/>
    <w:rsid w:val="6C5B4193"/>
    <w:rsid w:val="6C5D448C"/>
    <w:rsid w:val="6C5F5C53"/>
    <w:rsid w:val="6C601602"/>
    <w:rsid w:val="6C636C38"/>
    <w:rsid w:val="6C691001"/>
    <w:rsid w:val="6C693F75"/>
    <w:rsid w:val="6C6A1488"/>
    <w:rsid w:val="6C6E15EC"/>
    <w:rsid w:val="6C725CB0"/>
    <w:rsid w:val="6C786231"/>
    <w:rsid w:val="6C7D023C"/>
    <w:rsid w:val="6C8112EA"/>
    <w:rsid w:val="6C8226BA"/>
    <w:rsid w:val="6C8D2FC3"/>
    <w:rsid w:val="6C9500C9"/>
    <w:rsid w:val="6C953C26"/>
    <w:rsid w:val="6C9B3154"/>
    <w:rsid w:val="6CA15792"/>
    <w:rsid w:val="6CA9147F"/>
    <w:rsid w:val="6CAD0F6F"/>
    <w:rsid w:val="6CAD16D5"/>
    <w:rsid w:val="6CAE2F39"/>
    <w:rsid w:val="6CB3755E"/>
    <w:rsid w:val="6CB43650"/>
    <w:rsid w:val="6CB62952"/>
    <w:rsid w:val="6CB83252"/>
    <w:rsid w:val="6CBC7453"/>
    <w:rsid w:val="6CBD65E2"/>
    <w:rsid w:val="6CBF48EB"/>
    <w:rsid w:val="6CC7230F"/>
    <w:rsid w:val="6CC846AD"/>
    <w:rsid w:val="6CC85DA9"/>
    <w:rsid w:val="6CC94F9E"/>
    <w:rsid w:val="6CCB5899"/>
    <w:rsid w:val="6CD32EF3"/>
    <w:rsid w:val="6CD91137"/>
    <w:rsid w:val="6CDB1AE0"/>
    <w:rsid w:val="6CDC1854"/>
    <w:rsid w:val="6CE15F8D"/>
    <w:rsid w:val="6CE40709"/>
    <w:rsid w:val="6CE801F9"/>
    <w:rsid w:val="6CF3094C"/>
    <w:rsid w:val="6CF41172"/>
    <w:rsid w:val="6CF700E3"/>
    <w:rsid w:val="6CFC5418"/>
    <w:rsid w:val="6D066B64"/>
    <w:rsid w:val="6D0B213A"/>
    <w:rsid w:val="6D0C71EF"/>
    <w:rsid w:val="6D1159A2"/>
    <w:rsid w:val="6D176D30"/>
    <w:rsid w:val="6D1D7AC1"/>
    <w:rsid w:val="6D1E00BF"/>
    <w:rsid w:val="6D1E1E6D"/>
    <w:rsid w:val="6D1E7C24"/>
    <w:rsid w:val="6D2154B9"/>
    <w:rsid w:val="6D233E90"/>
    <w:rsid w:val="6D2D20B0"/>
    <w:rsid w:val="6D2D3E5E"/>
    <w:rsid w:val="6D2E08C8"/>
    <w:rsid w:val="6D341D7C"/>
    <w:rsid w:val="6D350F65"/>
    <w:rsid w:val="6D375872"/>
    <w:rsid w:val="6D463172"/>
    <w:rsid w:val="6D48513C"/>
    <w:rsid w:val="6D4A2C62"/>
    <w:rsid w:val="6D4F64CA"/>
    <w:rsid w:val="6D505D9E"/>
    <w:rsid w:val="6D521B17"/>
    <w:rsid w:val="6D5238C5"/>
    <w:rsid w:val="6D535C20"/>
    <w:rsid w:val="6D571889"/>
    <w:rsid w:val="6D5D0BE7"/>
    <w:rsid w:val="6D5E29FF"/>
    <w:rsid w:val="6D5E7B18"/>
    <w:rsid w:val="6D5F29AE"/>
    <w:rsid w:val="6D6369AB"/>
    <w:rsid w:val="6D661C9A"/>
    <w:rsid w:val="6D676532"/>
    <w:rsid w:val="6D6C09C2"/>
    <w:rsid w:val="6D6F3BBE"/>
    <w:rsid w:val="6D712920"/>
    <w:rsid w:val="6D716441"/>
    <w:rsid w:val="6D7208D2"/>
    <w:rsid w:val="6D7952F5"/>
    <w:rsid w:val="6D7E3D4B"/>
    <w:rsid w:val="6D7E46BA"/>
    <w:rsid w:val="6D8048D6"/>
    <w:rsid w:val="6D8343C6"/>
    <w:rsid w:val="6D834DB2"/>
    <w:rsid w:val="6D854800"/>
    <w:rsid w:val="6D8E3B3C"/>
    <w:rsid w:val="6D9010F2"/>
    <w:rsid w:val="6D9368E4"/>
    <w:rsid w:val="6D981C1F"/>
    <w:rsid w:val="6D9C47B6"/>
    <w:rsid w:val="6DA01E2A"/>
    <w:rsid w:val="6DA700B4"/>
    <w:rsid w:val="6DA93E1F"/>
    <w:rsid w:val="6DAC56CB"/>
    <w:rsid w:val="6DAE1443"/>
    <w:rsid w:val="6DB10E69"/>
    <w:rsid w:val="6DB34098"/>
    <w:rsid w:val="6DB545B6"/>
    <w:rsid w:val="6DBA4969"/>
    <w:rsid w:val="6DC01F1A"/>
    <w:rsid w:val="6DC472DF"/>
    <w:rsid w:val="6DCA32A3"/>
    <w:rsid w:val="6DD02898"/>
    <w:rsid w:val="6DD30EA9"/>
    <w:rsid w:val="6DD34A93"/>
    <w:rsid w:val="6DDD2C1A"/>
    <w:rsid w:val="6DE02FB4"/>
    <w:rsid w:val="6DEA61F3"/>
    <w:rsid w:val="6DEE21D8"/>
    <w:rsid w:val="6DEE5CE3"/>
    <w:rsid w:val="6DF053D8"/>
    <w:rsid w:val="6DF81154"/>
    <w:rsid w:val="6E0108B9"/>
    <w:rsid w:val="6E0454FB"/>
    <w:rsid w:val="6E086B91"/>
    <w:rsid w:val="6E0948CB"/>
    <w:rsid w:val="6E096679"/>
    <w:rsid w:val="6E096ED1"/>
    <w:rsid w:val="6E114F1D"/>
    <w:rsid w:val="6E162A32"/>
    <w:rsid w:val="6E1950D8"/>
    <w:rsid w:val="6E2B6C5E"/>
    <w:rsid w:val="6E320AAC"/>
    <w:rsid w:val="6E33572B"/>
    <w:rsid w:val="6E366386"/>
    <w:rsid w:val="6E386F5E"/>
    <w:rsid w:val="6E396833"/>
    <w:rsid w:val="6E3A0F28"/>
    <w:rsid w:val="6E4C0396"/>
    <w:rsid w:val="6E4E5887"/>
    <w:rsid w:val="6E4E6189"/>
    <w:rsid w:val="6E514CED"/>
    <w:rsid w:val="6E5446CE"/>
    <w:rsid w:val="6E552D7C"/>
    <w:rsid w:val="6E55366C"/>
    <w:rsid w:val="6E554C00"/>
    <w:rsid w:val="6E573E15"/>
    <w:rsid w:val="6E653B1B"/>
    <w:rsid w:val="6E6733A0"/>
    <w:rsid w:val="6E67506E"/>
    <w:rsid w:val="6E687F1F"/>
    <w:rsid w:val="6E691D29"/>
    <w:rsid w:val="6E721D67"/>
    <w:rsid w:val="6E733541"/>
    <w:rsid w:val="6E737F96"/>
    <w:rsid w:val="6E7541C7"/>
    <w:rsid w:val="6E777A87"/>
    <w:rsid w:val="6E7855AD"/>
    <w:rsid w:val="6E7C509D"/>
    <w:rsid w:val="6E865F1C"/>
    <w:rsid w:val="6E874863"/>
    <w:rsid w:val="6E8B61D2"/>
    <w:rsid w:val="6E8C57EB"/>
    <w:rsid w:val="6E8E2CF2"/>
    <w:rsid w:val="6E9A3775"/>
    <w:rsid w:val="6EA07C82"/>
    <w:rsid w:val="6EA639B6"/>
    <w:rsid w:val="6EA85FBA"/>
    <w:rsid w:val="6EAA6A3D"/>
    <w:rsid w:val="6EAC3EF7"/>
    <w:rsid w:val="6EB563D5"/>
    <w:rsid w:val="6EB64C7D"/>
    <w:rsid w:val="6EB760D5"/>
    <w:rsid w:val="6EB936B8"/>
    <w:rsid w:val="6EC1305B"/>
    <w:rsid w:val="6EC16F54"/>
    <w:rsid w:val="6EC66318"/>
    <w:rsid w:val="6EC746B7"/>
    <w:rsid w:val="6ECD5FFE"/>
    <w:rsid w:val="6ED71197"/>
    <w:rsid w:val="6ED92677"/>
    <w:rsid w:val="6EE13152"/>
    <w:rsid w:val="6EEA46FD"/>
    <w:rsid w:val="6EF41FF8"/>
    <w:rsid w:val="6EF56BFD"/>
    <w:rsid w:val="6EF81F37"/>
    <w:rsid w:val="6F040265"/>
    <w:rsid w:val="6F084B83"/>
    <w:rsid w:val="6F101C89"/>
    <w:rsid w:val="6F120007"/>
    <w:rsid w:val="6F15104E"/>
    <w:rsid w:val="6F174DC6"/>
    <w:rsid w:val="6F190B3E"/>
    <w:rsid w:val="6F1928EC"/>
    <w:rsid w:val="6F1F1ECC"/>
    <w:rsid w:val="6F20011E"/>
    <w:rsid w:val="6F225983"/>
    <w:rsid w:val="6F406423"/>
    <w:rsid w:val="6F415726"/>
    <w:rsid w:val="6F454939"/>
    <w:rsid w:val="6F4831D1"/>
    <w:rsid w:val="6F4D07E7"/>
    <w:rsid w:val="6F4E0CB0"/>
    <w:rsid w:val="6F60051B"/>
    <w:rsid w:val="6F634846"/>
    <w:rsid w:val="6F653C3E"/>
    <w:rsid w:val="6F667AFB"/>
    <w:rsid w:val="6F6873CF"/>
    <w:rsid w:val="6F6B6EC0"/>
    <w:rsid w:val="6F6C4F83"/>
    <w:rsid w:val="6F6F2B26"/>
    <w:rsid w:val="6F6F4C02"/>
    <w:rsid w:val="6F743FC6"/>
    <w:rsid w:val="6F767D3E"/>
    <w:rsid w:val="6F822668"/>
    <w:rsid w:val="6F865AA7"/>
    <w:rsid w:val="6F8A1A3C"/>
    <w:rsid w:val="6F8A5598"/>
    <w:rsid w:val="6F8C7562"/>
    <w:rsid w:val="6F8D6E36"/>
    <w:rsid w:val="6F94205B"/>
    <w:rsid w:val="6F9B59C4"/>
    <w:rsid w:val="6F9B77A5"/>
    <w:rsid w:val="6FA7614A"/>
    <w:rsid w:val="6FA81EC2"/>
    <w:rsid w:val="6FAF68A5"/>
    <w:rsid w:val="6FBC74E2"/>
    <w:rsid w:val="6FBE1712"/>
    <w:rsid w:val="6FBF6459"/>
    <w:rsid w:val="6FC05BA7"/>
    <w:rsid w:val="6FC20F74"/>
    <w:rsid w:val="6FCC3E02"/>
    <w:rsid w:val="6FD902CD"/>
    <w:rsid w:val="6FE456DE"/>
    <w:rsid w:val="6FE84DEC"/>
    <w:rsid w:val="6FED512C"/>
    <w:rsid w:val="6FFC43C3"/>
    <w:rsid w:val="6FFC5590"/>
    <w:rsid w:val="6FFC6EBC"/>
    <w:rsid w:val="700003E3"/>
    <w:rsid w:val="70003CAA"/>
    <w:rsid w:val="70052E70"/>
    <w:rsid w:val="700A0487"/>
    <w:rsid w:val="701E2184"/>
    <w:rsid w:val="702369A7"/>
    <w:rsid w:val="70251764"/>
    <w:rsid w:val="70253512"/>
    <w:rsid w:val="702754DC"/>
    <w:rsid w:val="702C48A1"/>
    <w:rsid w:val="703D085C"/>
    <w:rsid w:val="703E2A87"/>
    <w:rsid w:val="704105D3"/>
    <w:rsid w:val="704C6251"/>
    <w:rsid w:val="704E2A69"/>
    <w:rsid w:val="706933FF"/>
    <w:rsid w:val="70694304"/>
    <w:rsid w:val="706D1DD0"/>
    <w:rsid w:val="706E30B6"/>
    <w:rsid w:val="70724304"/>
    <w:rsid w:val="70730722"/>
    <w:rsid w:val="70764F73"/>
    <w:rsid w:val="7078259F"/>
    <w:rsid w:val="707B4764"/>
    <w:rsid w:val="707C7333"/>
    <w:rsid w:val="70814BED"/>
    <w:rsid w:val="70836CF8"/>
    <w:rsid w:val="70843CDC"/>
    <w:rsid w:val="70856B87"/>
    <w:rsid w:val="708661E4"/>
    <w:rsid w:val="70906E64"/>
    <w:rsid w:val="70920F76"/>
    <w:rsid w:val="70932B72"/>
    <w:rsid w:val="70944183"/>
    <w:rsid w:val="709541F4"/>
    <w:rsid w:val="70980188"/>
    <w:rsid w:val="70A26911"/>
    <w:rsid w:val="70A42689"/>
    <w:rsid w:val="70AF4196"/>
    <w:rsid w:val="70B23743"/>
    <w:rsid w:val="70B30B1E"/>
    <w:rsid w:val="70B521F9"/>
    <w:rsid w:val="70B52AE8"/>
    <w:rsid w:val="70B53307"/>
    <w:rsid w:val="70B54896"/>
    <w:rsid w:val="70B86135"/>
    <w:rsid w:val="70BA1EAD"/>
    <w:rsid w:val="70BE0F18"/>
    <w:rsid w:val="70BF56AD"/>
    <w:rsid w:val="70BF5715"/>
    <w:rsid w:val="70C458EB"/>
    <w:rsid w:val="70CB3294"/>
    <w:rsid w:val="70CD768C"/>
    <w:rsid w:val="70CE5958"/>
    <w:rsid w:val="70D17C48"/>
    <w:rsid w:val="70D25448"/>
    <w:rsid w:val="70D527EE"/>
    <w:rsid w:val="70D67C08"/>
    <w:rsid w:val="70D94A29"/>
    <w:rsid w:val="70DC681D"/>
    <w:rsid w:val="70E44F52"/>
    <w:rsid w:val="70E92792"/>
    <w:rsid w:val="70E94540"/>
    <w:rsid w:val="70ED1C64"/>
    <w:rsid w:val="70ED4030"/>
    <w:rsid w:val="70F13180"/>
    <w:rsid w:val="70F1368F"/>
    <w:rsid w:val="70F153AD"/>
    <w:rsid w:val="70F27898"/>
    <w:rsid w:val="70F57389"/>
    <w:rsid w:val="70F72433"/>
    <w:rsid w:val="70F84C7E"/>
    <w:rsid w:val="70F85702"/>
    <w:rsid w:val="70F90B93"/>
    <w:rsid w:val="70FC5C1E"/>
    <w:rsid w:val="710028BF"/>
    <w:rsid w:val="71016293"/>
    <w:rsid w:val="710F6A7D"/>
    <w:rsid w:val="71235FEE"/>
    <w:rsid w:val="712437CA"/>
    <w:rsid w:val="712B4B58"/>
    <w:rsid w:val="712D6B22"/>
    <w:rsid w:val="71357785"/>
    <w:rsid w:val="713779A1"/>
    <w:rsid w:val="713E02B9"/>
    <w:rsid w:val="71475E36"/>
    <w:rsid w:val="71487089"/>
    <w:rsid w:val="715916C6"/>
    <w:rsid w:val="71594D33"/>
    <w:rsid w:val="715B5300"/>
    <w:rsid w:val="715B56E9"/>
    <w:rsid w:val="715E0A8A"/>
    <w:rsid w:val="71671388"/>
    <w:rsid w:val="717007BD"/>
    <w:rsid w:val="717449C4"/>
    <w:rsid w:val="717A38AF"/>
    <w:rsid w:val="717C0AAC"/>
    <w:rsid w:val="71815DA7"/>
    <w:rsid w:val="718524BB"/>
    <w:rsid w:val="718553C1"/>
    <w:rsid w:val="7187510C"/>
    <w:rsid w:val="71875AE8"/>
    <w:rsid w:val="71885FFA"/>
    <w:rsid w:val="718C216D"/>
    <w:rsid w:val="718D531F"/>
    <w:rsid w:val="71946BA2"/>
    <w:rsid w:val="71963B91"/>
    <w:rsid w:val="719976DD"/>
    <w:rsid w:val="719B7F30"/>
    <w:rsid w:val="71A05546"/>
    <w:rsid w:val="71A42381"/>
    <w:rsid w:val="71A5286F"/>
    <w:rsid w:val="71A52B5D"/>
    <w:rsid w:val="71A62431"/>
    <w:rsid w:val="71A65D79"/>
    <w:rsid w:val="71A65F75"/>
    <w:rsid w:val="71AA0173"/>
    <w:rsid w:val="71AE27D3"/>
    <w:rsid w:val="71B12B57"/>
    <w:rsid w:val="71B42DA0"/>
    <w:rsid w:val="71B62725"/>
    <w:rsid w:val="71BE59CD"/>
    <w:rsid w:val="71C1726B"/>
    <w:rsid w:val="71C31235"/>
    <w:rsid w:val="71CA25C3"/>
    <w:rsid w:val="71D27F8A"/>
    <w:rsid w:val="71D7083C"/>
    <w:rsid w:val="71D778BA"/>
    <w:rsid w:val="71DB032D"/>
    <w:rsid w:val="71E116BB"/>
    <w:rsid w:val="71F6079E"/>
    <w:rsid w:val="72001B41"/>
    <w:rsid w:val="72012D7B"/>
    <w:rsid w:val="7205184D"/>
    <w:rsid w:val="720C4209"/>
    <w:rsid w:val="720D5704"/>
    <w:rsid w:val="72140B3D"/>
    <w:rsid w:val="72144F7F"/>
    <w:rsid w:val="72161365"/>
    <w:rsid w:val="721A5B23"/>
    <w:rsid w:val="721B2E1F"/>
    <w:rsid w:val="721D6B97"/>
    <w:rsid w:val="72211530"/>
    <w:rsid w:val="72273572"/>
    <w:rsid w:val="72297B2A"/>
    <w:rsid w:val="722E1642"/>
    <w:rsid w:val="722E2B52"/>
    <w:rsid w:val="72345C8F"/>
    <w:rsid w:val="723961CB"/>
    <w:rsid w:val="723E4F1D"/>
    <w:rsid w:val="724E4FA2"/>
    <w:rsid w:val="72553024"/>
    <w:rsid w:val="72556331"/>
    <w:rsid w:val="725B5CCC"/>
    <w:rsid w:val="725F0F5E"/>
    <w:rsid w:val="72604EB1"/>
    <w:rsid w:val="72676064"/>
    <w:rsid w:val="726A16B0"/>
    <w:rsid w:val="726E73F3"/>
    <w:rsid w:val="726F0358"/>
    <w:rsid w:val="72715BFF"/>
    <w:rsid w:val="72731266"/>
    <w:rsid w:val="72745B1E"/>
    <w:rsid w:val="7275252F"/>
    <w:rsid w:val="7278201F"/>
    <w:rsid w:val="72794CAC"/>
    <w:rsid w:val="72824C4C"/>
    <w:rsid w:val="7284392D"/>
    <w:rsid w:val="7284717C"/>
    <w:rsid w:val="728E1843"/>
    <w:rsid w:val="728E6BE1"/>
    <w:rsid w:val="72900308"/>
    <w:rsid w:val="72A050D2"/>
    <w:rsid w:val="72A20E4A"/>
    <w:rsid w:val="72A537F9"/>
    <w:rsid w:val="72A66B8C"/>
    <w:rsid w:val="72AD3978"/>
    <w:rsid w:val="72AF1380"/>
    <w:rsid w:val="72B172DF"/>
    <w:rsid w:val="72B93A79"/>
    <w:rsid w:val="72C11C55"/>
    <w:rsid w:val="72C2329A"/>
    <w:rsid w:val="72C60FDD"/>
    <w:rsid w:val="72CA46A5"/>
    <w:rsid w:val="72CA601C"/>
    <w:rsid w:val="72CB03A1"/>
    <w:rsid w:val="72CB77F1"/>
    <w:rsid w:val="72D069E5"/>
    <w:rsid w:val="72D07765"/>
    <w:rsid w:val="72D37256"/>
    <w:rsid w:val="72D51220"/>
    <w:rsid w:val="72D54D7C"/>
    <w:rsid w:val="72D97771"/>
    <w:rsid w:val="72DA4A88"/>
    <w:rsid w:val="72EC0405"/>
    <w:rsid w:val="72EE22E1"/>
    <w:rsid w:val="72F35B4A"/>
    <w:rsid w:val="72F53670"/>
    <w:rsid w:val="72F773E8"/>
    <w:rsid w:val="72FB01B0"/>
    <w:rsid w:val="72FD2525"/>
    <w:rsid w:val="73003800"/>
    <w:rsid w:val="73010267"/>
    <w:rsid w:val="730147FF"/>
    <w:rsid w:val="73041DE6"/>
    <w:rsid w:val="730E5B56"/>
    <w:rsid w:val="730F3118"/>
    <w:rsid w:val="73122968"/>
    <w:rsid w:val="731923E2"/>
    <w:rsid w:val="731A6C33"/>
    <w:rsid w:val="731D4975"/>
    <w:rsid w:val="731F5D5E"/>
    <w:rsid w:val="73247AB1"/>
    <w:rsid w:val="732B52E4"/>
    <w:rsid w:val="732F1F5F"/>
    <w:rsid w:val="732F7310"/>
    <w:rsid w:val="73397A01"/>
    <w:rsid w:val="733A5B2D"/>
    <w:rsid w:val="733C3B0B"/>
    <w:rsid w:val="733D4129"/>
    <w:rsid w:val="733F467C"/>
    <w:rsid w:val="7340516D"/>
    <w:rsid w:val="734626B8"/>
    <w:rsid w:val="73465C7A"/>
    <w:rsid w:val="734D525A"/>
    <w:rsid w:val="734E2D80"/>
    <w:rsid w:val="7355410F"/>
    <w:rsid w:val="73572C92"/>
    <w:rsid w:val="73574EA4"/>
    <w:rsid w:val="735760D9"/>
    <w:rsid w:val="7358775B"/>
    <w:rsid w:val="735B3263"/>
    <w:rsid w:val="735C27CC"/>
    <w:rsid w:val="73611638"/>
    <w:rsid w:val="73612AB3"/>
    <w:rsid w:val="736160E2"/>
    <w:rsid w:val="7365594F"/>
    <w:rsid w:val="737361D7"/>
    <w:rsid w:val="73775FE8"/>
    <w:rsid w:val="737D5512"/>
    <w:rsid w:val="737E5413"/>
    <w:rsid w:val="737F2C7C"/>
    <w:rsid w:val="7386251A"/>
    <w:rsid w:val="73970283"/>
    <w:rsid w:val="73993FFB"/>
    <w:rsid w:val="739A7D73"/>
    <w:rsid w:val="739B0EFC"/>
    <w:rsid w:val="73A138F3"/>
    <w:rsid w:val="73A330CC"/>
    <w:rsid w:val="73B21561"/>
    <w:rsid w:val="73B61F92"/>
    <w:rsid w:val="73BC1920"/>
    <w:rsid w:val="73C13552"/>
    <w:rsid w:val="73C324D7"/>
    <w:rsid w:val="73C3376E"/>
    <w:rsid w:val="73C51AD5"/>
    <w:rsid w:val="73CA68AB"/>
    <w:rsid w:val="73CF5C6F"/>
    <w:rsid w:val="73D068F6"/>
    <w:rsid w:val="73D413E5"/>
    <w:rsid w:val="73D47363"/>
    <w:rsid w:val="73D9472E"/>
    <w:rsid w:val="73DD0270"/>
    <w:rsid w:val="73DF02AE"/>
    <w:rsid w:val="73E3796C"/>
    <w:rsid w:val="73E7745D"/>
    <w:rsid w:val="73EF4563"/>
    <w:rsid w:val="73F751C6"/>
    <w:rsid w:val="73FB3E22"/>
    <w:rsid w:val="73FE0302"/>
    <w:rsid w:val="74031DBD"/>
    <w:rsid w:val="74051691"/>
    <w:rsid w:val="74055E73"/>
    <w:rsid w:val="74081181"/>
    <w:rsid w:val="74100036"/>
    <w:rsid w:val="7416389E"/>
    <w:rsid w:val="74164E32"/>
    <w:rsid w:val="74184B1D"/>
    <w:rsid w:val="741B0EB4"/>
    <w:rsid w:val="741E6BF6"/>
    <w:rsid w:val="741E793C"/>
    <w:rsid w:val="7420296E"/>
    <w:rsid w:val="742064CB"/>
    <w:rsid w:val="742165D3"/>
    <w:rsid w:val="74223A6E"/>
    <w:rsid w:val="74237D69"/>
    <w:rsid w:val="74253B04"/>
    <w:rsid w:val="74271B75"/>
    <w:rsid w:val="74277859"/>
    <w:rsid w:val="74281F91"/>
    <w:rsid w:val="742C30C1"/>
    <w:rsid w:val="742D1BD6"/>
    <w:rsid w:val="743D0A6A"/>
    <w:rsid w:val="744228E5"/>
    <w:rsid w:val="74441EEB"/>
    <w:rsid w:val="7445294D"/>
    <w:rsid w:val="745C3444"/>
    <w:rsid w:val="745D327B"/>
    <w:rsid w:val="745E3944"/>
    <w:rsid w:val="745F3497"/>
    <w:rsid w:val="745F621A"/>
    <w:rsid w:val="746740F9"/>
    <w:rsid w:val="74687E72"/>
    <w:rsid w:val="746A3BEA"/>
    <w:rsid w:val="746C7962"/>
    <w:rsid w:val="74702C8E"/>
    <w:rsid w:val="74712062"/>
    <w:rsid w:val="74753029"/>
    <w:rsid w:val="747A6A6F"/>
    <w:rsid w:val="747E1443"/>
    <w:rsid w:val="748078A8"/>
    <w:rsid w:val="74881B57"/>
    <w:rsid w:val="74886692"/>
    <w:rsid w:val="748D1686"/>
    <w:rsid w:val="748D3604"/>
    <w:rsid w:val="748D7C10"/>
    <w:rsid w:val="748E080D"/>
    <w:rsid w:val="749018A2"/>
    <w:rsid w:val="74962C31"/>
    <w:rsid w:val="749E04FE"/>
    <w:rsid w:val="74A013B9"/>
    <w:rsid w:val="74AE118C"/>
    <w:rsid w:val="74B24854"/>
    <w:rsid w:val="74B7656D"/>
    <w:rsid w:val="74BD593D"/>
    <w:rsid w:val="74C26191"/>
    <w:rsid w:val="74C50E20"/>
    <w:rsid w:val="74C64405"/>
    <w:rsid w:val="74C755EA"/>
    <w:rsid w:val="74CE4179"/>
    <w:rsid w:val="74D0167A"/>
    <w:rsid w:val="74D3178F"/>
    <w:rsid w:val="74D4546F"/>
    <w:rsid w:val="74D47BEE"/>
    <w:rsid w:val="74D67F16"/>
    <w:rsid w:val="74D77C10"/>
    <w:rsid w:val="74D86DA5"/>
    <w:rsid w:val="74DC649B"/>
    <w:rsid w:val="74DD5500"/>
    <w:rsid w:val="74E03EAC"/>
    <w:rsid w:val="74E120FE"/>
    <w:rsid w:val="74E65B7F"/>
    <w:rsid w:val="74EC0AA3"/>
    <w:rsid w:val="74EC671B"/>
    <w:rsid w:val="74F0564D"/>
    <w:rsid w:val="74F80B25"/>
    <w:rsid w:val="74FF6DBF"/>
    <w:rsid w:val="75096F5F"/>
    <w:rsid w:val="750B35D5"/>
    <w:rsid w:val="75135997"/>
    <w:rsid w:val="75137DDD"/>
    <w:rsid w:val="75151DA7"/>
    <w:rsid w:val="75226393"/>
    <w:rsid w:val="752E4C17"/>
    <w:rsid w:val="75336452"/>
    <w:rsid w:val="753366D1"/>
    <w:rsid w:val="75357D54"/>
    <w:rsid w:val="7536001A"/>
    <w:rsid w:val="753A180E"/>
    <w:rsid w:val="753C5109"/>
    <w:rsid w:val="753D30AC"/>
    <w:rsid w:val="753D4E5A"/>
    <w:rsid w:val="754049AC"/>
    <w:rsid w:val="75422471"/>
    <w:rsid w:val="75474A3A"/>
    <w:rsid w:val="75497CA3"/>
    <w:rsid w:val="754E350B"/>
    <w:rsid w:val="75502DDF"/>
    <w:rsid w:val="7557416E"/>
    <w:rsid w:val="75575526"/>
    <w:rsid w:val="755E39BC"/>
    <w:rsid w:val="75610B49"/>
    <w:rsid w:val="756D3991"/>
    <w:rsid w:val="757A7474"/>
    <w:rsid w:val="757C3BD5"/>
    <w:rsid w:val="757E4CA5"/>
    <w:rsid w:val="7581079F"/>
    <w:rsid w:val="75877FE0"/>
    <w:rsid w:val="7588717A"/>
    <w:rsid w:val="7590142E"/>
    <w:rsid w:val="75986535"/>
    <w:rsid w:val="759A405B"/>
    <w:rsid w:val="759C6025"/>
    <w:rsid w:val="75A76510"/>
    <w:rsid w:val="75AD1FE0"/>
    <w:rsid w:val="75B72E5F"/>
    <w:rsid w:val="75B9737F"/>
    <w:rsid w:val="75BB3953"/>
    <w:rsid w:val="75BE1AD0"/>
    <w:rsid w:val="75C12BF5"/>
    <w:rsid w:val="75C567D4"/>
    <w:rsid w:val="75CD2682"/>
    <w:rsid w:val="75CD4430"/>
    <w:rsid w:val="75CF789C"/>
    <w:rsid w:val="75D912A7"/>
    <w:rsid w:val="75D92DD5"/>
    <w:rsid w:val="75DB4D9F"/>
    <w:rsid w:val="75DE5BC4"/>
    <w:rsid w:val="75E14A34"/>
    <w:rsid w:val="75E31EA6"/>
    <w:rsid w:val="75E9124B"/>
    <w:rsid w:val="75F849B5"/>
    <w:rsid w:val="76004806"/>
    <w:rsid w:val="76032465"/>
    <w:rsid w:val="76051E1C"/>
    <w:rsid w:val="760960BE"/>
    <w:rsid w:val="76116A13"/>
    <w:rsid w:val="761172E0"/>
    <w:rsid w:val="76124539"/>
    <w:rsid w:val="762A5C33"/>
    <w:rsid w:val="762B1157"/>
    <w:rsid w:val="762B4B04"/>
    <w:rsid w:val="762F15AC"/>
    <w:rsid w:val="762F6ED4"/>
    <w:rsid w:val="763224E5"/>
    <w:rsid w:val="7635099D"/>
    <w:rsid w:val="763B6AA7"/>
    <w:rsid w:val="764A1B3C"/>
    <w:rsid w:val="764A5A81"/>
    <w:rsid w:val="764C63FC"/>
    <w:rsid w:val="764D19B8"/>
    <w:rsid w:val="76500BBD"/>
    <w:rsid w:val="76550BEF"/>
    <w:rsid w:val="76642FB2"/>
    <w:rsid w:val="76686F31"/>
    <w:rsid w:val="766B2AE4"/>
    <w:rsid w:val="766C3C49"/>
    <w:rsid w:val="766D79C1"/>
    <w:rsid w:val="767063FA"/>
    <w:rsid w:val="7671125F"/>
    <w:rsid w:val="767135EB"/>
    <w:rsid w:val="767C34FC"/>
    <w:rsid w:val="76803E59"/>
    <w:rsid w:val="7682521B"/>
    <w:rsid w:val="7683284D"/>
    <w:rsid w:val="7684222B"/>
    <w:rsid w:val="76843C6D"/>
    <w:rsid w:val="76862EE2"/>
    <w:rsid w:val="768C42EB"/>
    <w:rsid w:val="768C6099"/>
    <w:rsid w:val="768F16E6"/>
    <w:rsid w:val="768F760E"/>
    <w:rsid w:val="76911902"/>
    <w:rsid w:val="76942DB1"/>
    <w:rsid w:val="76994A03"/>
    <w:rsid w:val="76996F03"/>
    <w:rsid w:val="769E5DCD"/>
    <w:rsid w:val="76A2766B"/>
    <w:rsid w:val="76A70165"/>
    <w:rsid w:val="76AC04E9"/>
    <w:rsid w:val="76AC673B"/>
    <w:rsid w:val="76AE4262"/>
    <w:rsid w:val="76B178AE"/>
    <w:rsid w:val="76B33626"/>
    <w:rsid w:val="76B432EE"/>
    <w:rsid w:val="76B455F0"/>
    <w:rsid w:val="76B63116"/>
    <w:rsid w:val="76BA6768"/>
    <w:rsid w:val="76C20E22"/>
    <w:rsid w:val="76C61836"/>
    <w:rsid w:val="76C84BF7"/>
    <w:rsid w:val="76C938A8"/>
    <w:rsid w:val="76CF7F2C"/>
    <w:rsid w:val="76D01228"/>
    <w:rsid w:val="76D212C1"/>
    <w:rsid w:val="76D35A76"/>
    <w:rsid w:val="76DC2AE6"/>
    <w:rsid w:val="76DD7184"/>
    <w:rsid w:val="76DE7001"/>
    <w:rsid w:val="76E34989"/>
    <w:rsid w:val="76E539FB"/>
    <w:rsid w:val="76EA2DC0"/>
    <w:rsid w:val="76EC2FDC"/>
    <w:rsid w:val="76EC5B4A"/>
    <w:rsid w:val="76ED2E2D"/>
    <w:rsid w:val="76EE28B0"/>
    <w:rsid w:val="76F93003"/>
    <w:rsid w:val="76FD1A79"/>
    <w:rsid w:val="77057BFA"/>
    <w:rsid w:val="7706409E"/>
    <w:rsid w:val="77091498"/>
    <w:rsid w:val="770F6630"/>
    <w:rsid w:val="771212F8"/>
    <w:rsid w:val="77152231"/>
    <w:rsid w:val="77155DD6"/>
    <w:rsid w:val="77194977"/>
    <w:rsid w:val="771B741D"/>
    <w:rsid w:val="771C1C23"/>
    <w:rsid w:val="771D3195"/>
    <w:rsid w:val="771D4568"/>
    <w:rsid w:val="771F27E2"/>
    <w:rsid w:val="772774BF"/>
    <w:rsid w:val="772E0EFE"/>
    <w:rsid w:val="773A03B0"/>
    <w:rsid w:val="773D7394"/>
    <w:rsid w:val="77411120"/>
    <w:rsid w:val="77422572"/>
    <w:rsid w:val="77444BC6"/>
    <w:rsid w:val="774A6156"/>
    <w:rsid w:val="774F0D7F"/>
    <w:rsid w:val="775D6736"/>
    <w:rsid w:val="775E63BD"/>
    <w:rsid w:val="77607F64"/>
    <w:rsid w:val="77613082"/>
    <w:rsid w:val="77640DC4"/>
    <w:rsid w:val="776418CE"/>
    <w:rsid w:val="77644920"/>
    <w:rsid w:val="776461AB"/>
    <w:rsid w:val="776609A8"/>
    <w:rsid w:val="77672662"/>
    <w:rsid w:val="77683244"/>
    <w:rsid w:val="776B5936"/>
    <w:rsid w:val="77710A2F"/>
    <w:rsid w:val="77731007"/>
    <w:rsid w:val="77762421"/>
    <w:rsid w:val="777803CC"/>
    <w:rsid w:val="777B66C5"/>
    <w:rsid w:val="777F5BFE"/>
    <w:rsid w:val="77823D86"/>
    <w:rsid w:val="778925D9"/>
    <w:rsid w:val="77903967"/>
    <w:rsid w:val="779256B6"/>
    <w:rsid w:val="779416A9"/>
    <w:rsid w:val="779C40BA"/>
    <w:rsid w:val="779C59FE"/>
    <w:rsid w:val="779D6E8E"/>
    <w:rsid w:val="77A02AF5"/>
    <w:rsid w:val="77A8625B"/>
    <w:rsid w:val="77AC62F7"/>
    <w:rsid w:val="77AD4D1B"/>
    <w:rsid w:val="77B379F2"/>
    <w:rsid w:val="77B56B1F"/>
    <w:rsid w:val="77B84C6C"/>
    <w:rsid w:val="77C15CBD"/>
    <w:rsid w:val="77C47AB5"/>
    <w:rsid w:val="77CB0E43"/>
    <w:rsid w:val="77CB499F"/>
    <w:rsid w:val="77CE2CC8"/>
    <w:rsid w:val="77D05B9F"/>
    <w:rsid w:val="77D150FB"/>
    <w:rsid w:val="77D22FEE"/>
    <w:rsid w:val="77D31AA6"/>
    <w:rsid w:val="77D53CE3"/>
    <w:rsid w:val="77DA0F0B"/>
    <w:rsid w:val="77DC095A"/>
    <w:rsid w:val="77DE0B76"/>
    <w:rsid w:val="77DE4A2F"/>
    <w:rsid w:val="77E30FDC"/>
    <w:rsid w:val="77E80E14"/>
    <w:rsid w:val="77EF652E"/>
    <w:rsid w:val="77F008AA"/>
    <w:rsid w:val="77F04406"/>
    <w:rsid w:val="77F37187"/>
    <w:rsid w:val="77F425A8"/>
    <w:rsid w:val="77F520C5"/>
    <w:rsid w:val="77F57C6E"/>
    <w:rsid w:val="77F74411"/>
    <w:rsid w:val="77F951E6"/>
    <w:rsid w:val="78012DA4"/>
    <w:rsid w:val="78034139"/>
    <w:rsid w:val="78072C3C"/>
    <w:rsid w:val="780A371A"/>
    <w:rsid w:val="780F09F4"/>
    <w:rsid w:val="78194181"/>
    <w:rsid w:val="781B4249"/>
    <w:rsid w:val="78202F3D"/>
    <w:rsid w:val="78214C2E"/>
    <w:rsid w:val="782263B1"/>
    <w:rsid w:val="78245C46"/>
    <w:rsid w:val="782B3690"/>
    <w:rsid w:val="782B6988"/>
    <w:rsid w:val="782F13D2"/>
    <w:rsid w:val="783267CC"/>
    <w:rsid w:val="784309DA"/>
    <w:rsid w:val="7845150D"/>
    <w:rsid w:val="784D1858"/>
    <w:rsid w:val="785901FD"/>
    <w:rsid w:val="78636D15"/>
    <w:rsid w:val="786646C8"/>
    <w:rsid w:val="786762CD"/>
    <w:rsid w:val="786D2338"/>
    <w:rsid w:val="786D3CA8"/>
    <w:rsid w:val="786E5B2B"/>
    <w:rsid w:val="786F6960"/>
    <w:rsid w:val="786F7A21"/>
    <w:rsid w:val="78715547"/>
    <w:rsid w:val="78723CC3"/>
    <w:rsid w:val="788334CC"/>
    <w:rsid w:val="789003EF"/>
    <w:rsid w:val="78912E9A"/>
    <w:rsid w:val="789143F5"/>
    <w:rsid w:val="78931961"/>
    <w:rsid w:val="7897559F"/>
    <w:rsid w:val="78994A9D"/>
    <w:rsid w:val="789B25C4"/>
    <w:rsid w:val="789C633C"/>
    <w:rsid w:val="789E3E62"/>
    <w:rsid w:val="789F2417"/>
    <w:rsid w:val="78A26007"/>
    <w:rsid w:val="78A463F8"/>
    <w:rsid w:val="78A7540C"/>
    <w:rsid w:val="78A90480"/>
    <w:rsid w:val="78A9623C"/>
    <w:rsid w:val="78AE679B"/>
    <w:rsid w:val="78AF606F"/>
    <w:rsid w:val="78B13B95"/>
    <w:rsid w:val="78B359C3"/>
    <w:rsid w:val="78B638A1"/>
    <w:rsid w:val="78B813C8"/>
    <w:rsid w:val="78BD50EF"/>
    <w:rsid w:val="78C064CE"/>
    <w:rsid w:val="78C57641"/>
    <w:rsid w:val="78C7311D"/>
    <w:rsid w:val="78C7785D"/>
    <w:rsid w:val="78CA4C57"/>
    <w:rsid w:val="78CC05E7"/>
    <w:rsid w:val="78D06B71"/>
    <w:rsid w:val="78D41F79"/>
    <w:rsid w:val="78D42EBA"/>
    <w:rsid w:val="78D46652"/>
    <w:rsid w:val="78E26444"/>
    <w:rsid w:val="78E268EA"/>
    <w:rsid w:val="78E35D19"/>
    <w:rsid w:val="78E554C6"/>
    <w:rsid w:val="78E80C4F"/>
    <w:rsid w:val="78EB0C60"/>
    <w:rsid w:val="78EF46BD"/>
    <w:rsid w:val="78F03B36"/>
    <w:rsid w:val="78F10436"/>
    <w:rsid w:val="78F256F3"/>
    <w:rsid w:val="78F30652"/>
    <w:rsid w:val="78F40C42"/>
    <w:rsid w:val="78F50B5D"/>
    <w:rsid w:val="78F85C68"/>
    <w:rsid w:val="78F91EC8"/>
    <w:rsid w:val="78FB12B4"/>
    <w:rsid w:val="78FD3ABD"/>
    <w:rsid w:val="7904460D"/>
    <w:rsid w:val="79053EE1"/>
    <w:rsid w:val="790728DB"/>
    <w:rsid w:val="79075EAB"/>
    <w:rsid w:val="790F4D60"/>
    <w:rsid w:val="7911177C"/>
    <w:rsid w:val="791505C8"/>
    <w:rsid w:val="79157851"/>
    <w:rsid w:val="79163E6A"/>
    <w:rsid w:val="791D2872"/>
    <w:rsid w:val="79226841"/>
    <w:rsid w:val="792C5912"/>
    <w:rsid w:val="792E3438"/>
    <w:rsid w:val="793022A4"/>
    <w:rsid w:val="79344625"/>
    <w:rsid w:val="79421C65"/>
    <w:rsid w:val="794401B0"/>
    <w:rsid w:val="794A110F"/>
    <w:rsid w:val="794A3C3A"/>
    <w:rsid w:val="794D1760"/>
    <w:rsid w:val="794E7636"/>
    <w:rsid w:val="79500F97"/>
    <w:rsid w:val="79502E75"/>
    <w:rsid w:val="79570BE0"/>
    <w:rsid w:val="795804B5"/>
    <w:rsid w:val="795D3744"/>
    <w:rsid w:val="79607369"/>
    <w:rsid w:val="79621230"/>
    <w:rsid w:val="79621333"/>
    <w:rsid w:val="79657719"/>
    <w:rsid w:val="796706F8"/>
    <w:rsid w:val="79692962"/>
    <w:rsid w:val="79733540"/>
    <w:rsid w:val="79745EB1"/>
    <w:rsid w:val="797817B8"/>
    <w:rsid w:val="79786DA9"/>
    <w:rsid w:val="797B4C64"/>
    <w:rsid w:val="797F1EE5"/>
    <w:rsid w:val="798037FB"/>
    <w:rsid w:val="79863274"/>
    <w:rsid w:val="798D36FE"/>
    <w:rsid w:val="798E7EDB"/>
    <w:rsid w:val="7990238C"/>
    <w:rsid w:val="799C71B2"/>
    <w:rsid w:val="799E680F"/>
    <w:rsid w:val="799F0137"/>
    <w:rsid w:val="799F3C44"/>
    <w:rsid w:val="79AB4A88"/>
    <w:rsid w:val="79B42D0A"/>
    <w:rsid w:val="79B853F7"/>
    <w:rsid w:val="79BC4EE7"/>
    <w:rsid w:val="79BD656A"/>
    <w:rsid w:val="79BF0534"/>
    <w:rsid w:val="79BF15DC"/>
    <w:rsid w:val="79BF1AED"/>
    <w:rsid w:val="79C124FE"/>
    <w:rsid w:val="79C618C2"/>
    <w:rsid w:val="79CE69C9"/>
    <w:rsid w:val="79D21E6C"/>
    <w:rsid w:val="79D3777C"/>
    <w:rsid w:val="79D815F5"/>
    <w:rsid w:val="79E461EC"/>
    <w:rsid w:val="79E5350A"/>
    <w:rsid w:val="79ED32F3"/>
    <w:rsid w:val="79F6459A"/>
    <w:rsid w:val="7A036672"/>
    <w:rsid w:val="7A0515D5"/>
    <w:rsid w:val="7A0643B5"/>
    <w:rsid w:val="7A067F11"/>
    <w:rsid w:val="7A076811"/>
    <w:rsid w:val="7A081EDB"/>
    <w:rsid w:val="7A0E1B67"/>
    <w:rsid w:val="7A0F5F41"/>
    <w:rsid w:val="7A0F6063"/>
    <w:rsid w:val="7A1244D7"/>
    <w:rsid w:val="7A126246"/>
    <w:rsid w:val="7A15284A"/>
    <w:rsid w:val="7A1D2509"/>
    <w:rsid w:val="7A262361"/>
    <w:rsid w:val="7A2D7B93"/>
    <w:rsid w:val="7A2F56B9"/>
    <w:rsid w:val="7A364017"/>
    <w:rsid w:val="7A37456E"/>
    <w:rsid w:val="7A3749BA"/>
    <w:rsid w:val="7A3E03B2"/>
    <w:rsid w:val="7A434CC1"/>
    <w:rsid w:val="7A5275FA"/>
    <w:rsid w:val="7A536997"/>
    <w:rsid w:val="7A557038"/>
    <w:rsid w:val="7A584E85"/>
    <w:rsid w:val="7A5E350B"/>
    <w:rsid w:val="7A63535D"/>
    <w:rsid w:val="7A665885"/>
    <w:rsid w:val="7A670E2C"/>
    <w:rsid w:val="7A6B5D2A"/>
    <w:rsid w:val="7A6D4434"/>
    <w:rsid w:val="7A7364DF"/>
    <w:rsid w:val="7A765096"/>
    <w:rsid w:val="7A79040F"/>
    <w:rsid w:val="7A794B87"/>
    <w:rsid w:val="7A7A1B64"/>
    <w:rsid w:val="7A7C5CA5"/>
    <w:rsid w:val="7A7E64DC"/>
    <w:rsid w:val="7A8265E1"/>
    <w:rsid w:val="7A861051"/>
    <w:rsid w:val="7A8A0B42"/>
    <w:rsid w:val="7A8F43AA"/>
    <w:rsid w:val="7A907F98"/>
    <w:rsid w:val="7A9419C0"/>
    <w:rsid w:val="7A951295"/>
    <w:rsid w:val="7A9674E6"/>
    <w:rsid w:val="7A9B2D4F"/>
    <w:rsid w:val="7AA17C39"/>
    <w:rsid w:val="7AA21E38"/>
    <w:rsid w:val="7AA26F16"/>
    <w:rsid w:val="7AA80767"/>
    <w:rsid w:val="7AA80FC8"/>
    <w:rsid w:val="7AA91EC4"/>
    <w:rsid w:val="7AAA11E4"/>
    <w:rsid w:val="7ABB6F4D"/>
    <w:rsid w:val="7ABC0B3A"/>
    <w:rsid w:val="7AC22AE9"/>
    <w:rsid w:val="7AC51B7A"/>
    <w:rsid w:val="7AC676A0"/>
    <w:rsid w:val="7ACD6C80"/>
    <w:rsid w:val="7ACE4ED2"/>
    <w:rsid w:val="7AD14624"/>
    <w:rsid w:val="7AD26045"/>
    <w:rsid w:val="7ADD3367"/>
    <w:rsid w:val="7AE04C06"/>
    <w:rsid w:val="7AE45421"/>
    <w:rsid w:val="7AE527F2"/>
    <w:rsid w:val="7AEA338E"/>
    <w:rsid w:val="7AEC0927"/>
    <w:rsid w:val="7AED2E7F"/>
    <w:rsid w:val="7AF014A1"/>
    <w:rsid w:val="7AF1296F"/>
    <w:rsid w:val="7AF16E13"/>
    <w:rsid w:val="7AF24EBB"/>
    <w:rsid w:val="7AF530DF"/>
    <w:rsid w:val="7AF661D7"/>
    <w:rsid w:val="7AF701BA"/>
    <w:rsid w:val="7AF91823"/>
    <w:rsid w:val="7AFB1CAE"/>
    <w:rsid w:val="7B0216BD"/>
    <w:rsid w:val="7B024B7C"/>
    <w:rsid w:val="7B066C11"/>
    <w:rsid w:val="7B0A57DF"/>
    <w:rsid w:val="7B0C59FB"/>
    <w:rsid w:val="7B122C70"/>
    <w:rsid w:val="7B1743CD"/>
    <w:rsid w:val="7B1D19B6"/>
    <w:rsid w:val="7B22521E"/>
    <w:rsid w:val="7B2368A0"/>
    <w:rsid w:val="7B2745E3"/>
    <w:rsid w:val="7B310FBD"/>
    <w:rsid w:val="7B3311D9"/>
    <w:rsid w:val="7B3959B5"/>
    <w:rsid w:val="7B3968E6"/>
    <w:rsid w:val="7B3A4316"/>
    <w:rsid w:val="7B3B008E"/>
    <w:rsid w:val="7B453F3C"/>
    <w:rsid w:val="7B474C85"/>
    <w:rsid w:val="7B48320A"/>
    <w:rsid w:val="7B4F7695"/>
    <w:rsid w:val="7B501226"/>
    <w:rsid w:val="7B51340D"/>
    <w:rsid w:val="7B5770BD"/>
    <w:rsid w:val="7B58479C"/>
    <w:rsid w:val="7B590514"/>
    <w:rsid w:val="7B5D2016"/>
    <w:rsid w:val="7B5E0935"/>
    <w:rsid w:val="7B62386D"/>
    <w:rsid w:val="7B6475E5"/>
    <w:rsid w:val="7B670E83"/>
    <w:rsid w:val="7B686D42"/>
    <w:rsid w:val="7B6A44CF"/>
    <w:rsid w:val="7B6B4462"/>
    <w:rsid w:val="7B6C0247"/>
    <w:rsid w:val="7B6C223F"/>
    <w:rsid w:val="7B7D06A6"/>
    <w:rsid w:val="7B7D59C9"/>
    <w:rsid w:val="7B7F2003"/>
    <w:rsid w:val="7B80466F"/>
    <w:rsid w:val="7B8053B0"/>
    <w:rsid w:val="7B841746"/>
    <w:rsid w:val="7B851426"/>
    <w:rsid w:val="7B8721DB"/>
    <w:rsid w:val="7B8C2698"/>
    <w:rsid w:val="7B8C30B2"/>
    <w:rsid w:val="7B933775"/>
    <w:rsid w:val="7B963516"/>
    <w:rsid w:val="7B971768"/>
    <w:rsid w:val="7B98103C"/>
    <w:rsid w:val="7B9A3006"/>
    <w:rsid w:val="7B9B1FB8"/>
    <w:rsid w:val="7B9F0CF1"/>
    <w:rsid w:val="7BA15131"/>
    <w:rsid w:val="7BA37D65"/>
    <w:rsid w:val="7BA4501A"/>
    <w:rsid w:val="7BAB3172"/>
    <w:rsid w:val="7BAD0B7B"/>
    <w:rsid w:val="7BAD0F8C"/>
    <w:rsid w:val="7BB816DF"/>
    <w:rsid w:val="7BB9664E"/>
    <w:rsid w:val="7BB96CC4"/>
    <w:rsid w:val="7BBC4541"/>
    <w:rsid w:val="7BC049B4"/>
    <w:rsid w:val="7BC70FD5"/>
    <w:rsid w:val="7BC72DA5"/>
    <w:rsid w:val="7BCB1412"/>
    <w:rsid w:val="7BD36518"/>
    <w:rsid w:val="7BDC476E"/>
    <w:rsid w:val="7BDE1658"/>
    <w:rsid w:val="7BDE5953"/>
    <w:rsid w:val="7BDF3E1D"/>
    <w:rsid w:val="7BE349AD"/>
    <w:rsid w:val="7BE36F8F"/>
    <w:rsid w:val="7BEA20A3"/>
    <w:rsid w:val="7BEA7D4F"/>
    <w:rsid w:val="7BEB4029"/>
    <w:rsid w:val="7BEB44B6"/>
    <w:rsid w:val="7BEC1388"/>
    <w:rsid w:val="7BF22E42"/>
    <w:rsid w:val="7BF344C5"/>
    <w:rsid w:val="7BF55794"/>
    <w:rsid w:val="7BF62608"/>
    <w:rsid w:val="7C0160DE"/>
    <w:rsid w:val="7C024775"/>
    <w:rsid w:val="7C0D37D8"/>
    <w:rsid w:val="7C0F744D"/>
    <w:rsid w:val="7C10239C"/>
    <w:rsid w:val="7C107941"/>
    <w:rsid w:val="7C1167C1"/>
    <w:rsid w:val="7C12634A"/>
    <w:rsid w:val="7C1436A9"/>
    <w:rsid w:val="7C156B31"/>
    <w:rsid w:val="7C1728A9"/>
    <w:rsid w:val="7C181D18"/>
    <w:rsid w:val="7C1C46E3"/>
    <w:rsid w:val="7C1F52BA"/>
    <w:rsid w:val="7C2B0102"/>
    <w:rsid w:val="7C3522B8"/>
    <w:rsid w:val="7C376013"/>
    <w:rsid w:val="7C413482"/>
    <w:rsid w:val="7C4411C4"/>
    <w:rsid w:val="7C4A4A2C"/>
    <w:rsid w:val="7C4C6043"/>
    <w:rsid w:val="7C5036C5"/>
    <w:rsid w:val="7C550AD0"/>
    <w:rsid w:val="7C5C02BC"/>
    <w:rsid w:val="7C5D7986"/>
    <w:rsid w:val="7C6279CA"/>
    <w:rsid w:val="7C63164A"/>
    <w:rsid w:val="7C6551D4"/>
    <w:rsid w:val="7C666E84"/>
    <w:rsid w:val="7C667196"/>
    <w:rsid w:val="7C6C5AC7"/>
    <w:rsid w:val="7C711D3F"/>
    <w:rsid w:val="7C8141C6"/>
    <w:rsid w:val="7C865339"/>
    <w:rsid w:val="7C896BD7"/>
    <w:rsid w:val="7C914409"/>
    <w:rsid w:val="7C9712F4"/>
    <w:rsid w:val="7C975798"/>
    <w:rsid w:val="7C9E69D0"/>
    <w:rsid w:val="7C9E74F7"/>
    <w:rsid w:val="7CA103C5"/>
    <w:rsid w:val="7CA221E8"/>
    <w:rsid w:val="7CA24759"/>
    <w:rsid w:val="7CA7552F"/>
    <w:rsid w:val="7CAA54CB"/>
    <w:rsid w:val="7CB023B6"/>
    <w:rsid w:val="7CB225D2"/>
    <w:rsid w:val="7CB4760E"/>
    <w:rsid w:val="7CB63E70"/>
    <w:rsid w:val="7CC6544B"/>
    <w:rsid w:val="7CC92A66"/>
    <w:rsid w:val="7CCD2FB8"/>
    <w:rsid w:val="7CD178CA"/>
    <w:rsid w:val="7CD82038"/>
    <w:rsid w:val="7CD84A58"/>
    <w:rsid w:val="7CE341F0"/>
    <w:rsid w:val="7CE704CD"/>
    <w:rsid w:val="7CEC4D0A"/>
    <w:rsid w:val="7CEC6C9F"/>
    <w:rsid w:val="7CEF7382"/>
    <w:rsid w:val="7CF15683"/>
    <w:rsid w:val="7CF25884"/>
    <w:rsid w:val="7CF31EB1"/>
    <w:rsid w:val="7CF77FE5"/>
    <w:rsid w:val="7CF93F0B"/>
    <w:rsid w:val="7CFD1A9F"/>
    <w:rsid w:val="7CFE75C5"/>
    <w:rsid w:val="7CFE7CE4"/>
    <w:rsid w:val="7CFF11DB"/>
    <w:rsid w:val="7D0239FF"/>
    <w:rsid w:val="7D060E1D"/>
    <w:rsid w:val="7D080444"/>
    <w:rsid w:val="7D0A5F6A"/>
    <w:rsid w:val="7D0F532E"/>
    <w:rsid w:val="7D11554A"/>
    <w:rsid w:val="7D1178DB"/>
    <w:rsid w:val="7D155655"/>
    <w:rsid w:val="7D1666BD"/>
    <w:rsid w:val="7D184638"/>
    <w:rsid w:val="7D213C46"/>
    <w:rsid w:val="7D240E8C"/>
    <w:rsid w:val="7D2544AB"/>
    <w:rsid w:val="7D2A660C"/>
    <w:rsid w:val="7D33726F"/>
    <w:rsid w:val="7D3823A1"/>
    <w:rsid w:val="7D382AD7"/>
    <w:rsid w:val="7D3F20B7"/>
    <w:rsid w:val="7D40198C"/>
    <w:rsid w:val="7D434A07"/>
    <w:rsid w:val="7D4923C3"/>
    <w:rsid w:val="7D496F22"/>
    <w:rsid w:val="7D4F6073"/>
    <w:rsid w:val="7D5C60C3"/>
    <w:rsid w:val="7D5D253D"/>
    <w:rsid w:val="7D5D42EC"/>
    <w:rsid w:val="7D5E40CD"/>
    <w:rsid w:val="7D627B54"/>
    <w:rsid w:val="7D6A2AC3"/>
    <w:rsid w:val="7D710796"/>
    <w:rsid w:val="7D80170D"/>
    <w:rsid w:val="7D8A0E59"/>
    <w:rsid w:val="7D8E1766"/>
    <w:rsid w:val="7D9237A6"/>
    <w:rsid w:val="7D9274B9"/>
    <w:rsid w:val="7D930433"/>
    <w:rsid w:val="7D9341B1"/>
    <w:rsid w:val="7D9B444F"/>
    <w:rsid w:val="7D9E490A"/>
    <w:rsid w:val="7DA651A4"/>
    <w:rsid w:val="7DA7376B"/>
    <w:rsid w:val="7DA9420C"/>
    <w:rsid w:val="7DAA32A9"/>
    <w:rsid w:val="7DB71AAA"/>
    <w:rsid w:val="7DBD0BBD"/>
    <w:rsid w:val="7DC01525"/>
    <w:rsid w:val="7DCC00C5"/>
    <w:rsid w:val="7DCD56F2"/>
    <w:rsid w:val="7DCE3877"/>
    <w:rsid w:val="7DD547CA"/>
    <w:rsid w:val="7DDD542C"/>
    <w:rsid w:val="7DE44A0D"/>
    <w:rsid w:val="7DE454F0"/>
    <w:rsid w:val="7DE71E07"/>
    <w:rsid w:val="7DEA02BE"/>
    <w:rsid w:val="7DEB18F7"/>
    <w:rsid w:val="7DEB6A33"/>
    <w:rsid w:val="7DF22C07"/>
    <w:rsid w:val="7DF438B1"/>
    <w:rsid w:val="7DF46AC3"/>
    <w:rsid w:val="7DFE6DCF"/>
    <w:rsid w:val="7E06489D"/>
    <w:rsid w:val="7E070777"/>
    <w:rsid w:val="7E096221"/>
    <w:rsid w:val="7E0B1895"/>
    <w:rsid w:val="7E0F648B"/>
    <w:rsid w:val="7E1117C4"/>
    <w:rsid w:val="7E1420A0"/>
    <w:rsid w:val="7E1803F3"/>
    <w:rsid w:val="7E1F3FB4"/>
    <w:rsid w:val="7E2015A5"/>
    <w:rsid w:val="7E220BE7"/>
    <w:rsid w:val="7E244E09"/>
    <w:rsid w:val="7E2576DE"/>
    <w:rsid w:val="7E265025"/>
    <w:rsid w:val="7E280EEB"/>
    <w:rsid w:val="7E2A3C98"/>
    <w:rsid w:val="7E350DC4"/>
    <w:rsid w:val="7E3B0BE2"/>
    <w:rsid w:val="7E3B2954"/>
    <w:rsid w:val="7E437523"/>
    <w:rsid w:val="7E462300"/>
    <w:rsid w:val="7E4808A8"/>
    <w:rsid w:val="7E4F11DE"/>
    <w:rsid w:val="7E4F632A"/>
    <w:rsid w:val="7E507835"/>
    <w:rsid w:val="7E514FEC"/>
    <w:rsid w:val="7E550EF8"/>
    <w:rsid w:val="7E5645D8"/>
    <w:rsid w:val="7E576F8D"/>
    <w:rsid w:val="7E5E2515"/>
    <w:rsid w:val="7E5F22E5"/>
    <w:rsid w:val="7E664E5B"/>
    <w:rsid w:val="7E6B28C4"/>
    <w:rsid w:val="7E7A2C7B"/>
    <w:rsid w:val="7E7C69F3"/>
    <w:rsid w:val="7E7E76A4"/>
    <w:rsid w:val="7E7F530E"/>
    <w:rsid w:val="7E861620"/>
    <w:rsid w:val="7E8809BA"/>
    <w:rsid w:val="7E881A27"/>
    <w:rsid w:val="7E8D29AE"/>
    <w:rsid w:val="7E8E3579"/>
    <w:rsid w:val="7E8E6727"/>
    <w:rsid w:val="7E8F6A79"/>
    <w:rsid w:val="7E92054F"/>
    <w:rsid w:val="7E9637B2"/>
    <w:rsid w:val="7E970337"/>
    <w:rsid w:val="7E990599"/>
    <w:rsid w:val="7E9E2C74"/>
    <w:rsid w:val="7EA122E9"/>
    <w:rsid w:val="7EA30F65"/>
    <w:rsid w:val="7EA54475"/>
    <w:rsid w:val="7EAF2A70"/>
    <w:rsid w:val="7EB3615A"/>
    <w:rsid w:val="7EBC7738"/>
    <w:rsid w:val="7EBE229E"/>
    <w:rsid w:val="7EC565EC"/>
    <w:rsid w:val="7EC852A8"/>
    <w:rsid w:val="7ECA4133"/>
    <w:rsid w:val="7ECD3E76"/>
    <w:rsid w:val="7ED76320"/>
    <w:rsid w:val="7ED92098"/>
    <w:rsid w:val="7EE12F7C"/>
    <w:rsid w:val="7EEB3B79"/>
    <w:rsid w:val="7EEE02F3"/>
    <w:rsid w:val="7EF02F3D"/>
    <w:rsid w:val="7EF40C80"/>
    <w:rsid w:val="7EF467C5"/>
    <w:rsid w:val="7EF76E4E"/>
    <w:rsid w:val="7EFB0D25"/>
    <w:rsid w:val="7F001CE7"/>
    <w:rsid w:val="7F084798"/>
    <w:rsid w:val="7F091793"/>
    <w:rsid w:val="7F096FDA"/>
    <w:rsid w:val="7F0A04A3"/>
    <w:rsid w:val="7F0F5953"/>
    <w:rsid w:val="7F13151C"/>
    <w:rsid w:val="7F1629A4"/>
    <w:rsid w:val="7F231565"/>
    <w:rsid w:val="7F2B0553"/>
    <w:rsid w:val="7F2C0419"/>
    <w:rsid w:val="7F327110"/>
    <w:rsid w:val="7F363046"/>
    <w:rsid w:val="7F38019E"/>
    <w:rsid w:val="7F3F1987"/>
    <w:rsid w:val="7F3F3A60"/>
    <w:rsid w:val="7F460DAF"/>
    <w:rsid w:val="7F4719E0"/>
    <w:rsid w:val="7F480FCB"/>
    <w:rsid w:val="7F4D520C"/>
    <w:rsid w:val="7F51148C"/>
    <w:rsid w:val="7F58120E"/>
    <w:rsid w:val="7F587460"/>
    <w:rsid w:val="7F5C05D3"/>
    <w:rsid w:val="7F601E71"/>
    <w:rsid w:val="7F662AE7"/>
    <w:rsid w:val="7F6D27E0"/>
    <w:rsid w:val="7F6F0D37"/>
    <w:rsid w:val="7F706BB1"/>
    <w:rsid w:val="7F706E59"/>
    <w:rsid w:val="7F71407E"/>
    <w:rsid w:val="7F7C1C04"/>
    <w:rsid w:val="7F7E679B"/>
    <w:rsid w:val="7F8244DD"/>
    <w:rsid w:val="7F8C710A"/>
    <w:rsid w:val="7F8F384D"/>
    <w:rsid w:val="7F923FF5"/>
    <w:rsid w:val="7F935CCC"/>
    <w:rsid w:val="7F9C7362"/>
    <w:rsid w:val="7F9D7289"/>
    <w:rsid w:val="7F9F6C37"/>
    <w:rsid w:val="7FA02BB5"/>
    <w:rsid w:val="7FA426A6"/>
    <w:rsid w:val="7FA97CBC"/>
    <w:rsid w:val="7FAB18C3"/>
    <w:rsid w:val="7FAB4750"/>
    <w:rsid w:val="7FAC3308"/>
    <w:rsid w:val="7FAE08F2"/>
    <w:rsid w:val="7FAF2DF8"/>
    <w:rsid w:val="7FB1091F"/>
    <w:rsid w:val="7FB46DC4"/>
    <w:rsid w:val="7FB803EA"/>
    <w:rsid w:val="7FBB6D4A"/>
    <w:rsid w:val="7FBD3767"/>
    <w:rsid w:val="7FC248DA"/>
    <w:rsid w:val="7FC2546B"/>
    <w:rsid w:val="7FC64768"/>
    <w:rsid w:val="7FC76E03"/>
    <w:rsid w:val="7FC93EBA"/>
    <w:rsid w:val="7FD34134"/>
    <w:rsid w:val="7FDF43DB"/>
    <w:rsid w:val="7FDF7877"/>
    <w:rsid w:val="7FE47E50"/>
    <w:rsid w:val="7FED39E2"/>
    <w:rsid w:val="7FEE1B73"/>
    <w:rsid w:val="7FEF4AF7"/>
    <w:rsid w:val="7FFB590F"/>
    <w:rsid w:val="7FFC2978"/>
    <w:rsid w:val="7FFF3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jc w:val="center"/>
      <w:outlineLvl w:val="0"/>
    </w:pPr>
    <w:rPr>
      <w:rFonts w:eastAsia="黑体"/>
      <w:color w:val="000000"/>
      <w:kern w:val="44"/>
      <w:sz w:val="30"/>
      <w:szCs w:val="30"/>
    </w:rPr>
  </w:style>
  <w:style w:type="paragraph" w:styleId="3">
    <w:name w:val="heading 2"/>
    <w:basedOn w:val="1"/>
    <w:next w:val="1"/>
    <w:autoRedefine/>
    <w:qFormat/>
    <w:uiPriority w:val="0"/>
    <w:pPr>
      <w:spacing w:before="100" w:beforeAutospacing="1" w:after="100" w:afterAutospacing="1"/>
      <w:jc w:val="left"/>
      <w:outlineLvl w:val="1"/>
    </w:pPr>
    <w:rPr>
      <w:rFonts w:hint="eastAsia" w:ascii="宋体" w:hAnsi="宋体"/>
      <w:b/>
      <w:bCs/>
      <w:kern w:val="0"/>
      <w:sz w:val="36"/>
      <w:szCs w:val="36"/>
    </w:rPr>
  </w:style>
  <w:style w:type="paragraph" w:styleId="4">
    <w:name w:val="heading 3"/>
    <w:basedOn w:val="1"/>
    <w:next w:val="1"/>
    <w:autoRedefine/>
    <w:qFormat/>
    <w:uiPriority w:val="9"/>
    <w:pPr>
      <w:keepNext/>
      <w:keepLines/>
      <w:adjustRightInd w:val="0"/>
      <w:snapToGrid w:val="0"/>
      <w:spacing w:line="360" w:lineRule="auto"/>
      <w:ind w:firstLine="420" w:firstLineChars="200"/>
      <w:jc w:val="left"/>
      <w:outlineLvl w:val="2"/>
    </w:pPr>
    <w:rPr>
      <w:b/>
      <w:sz w:val="24"/>
    </w:rPr>
  </w:style>
  <w:style w:type="paragraph" w:styleId="5">
    <w:name w:val="heading 4"/>
    <w:basedOn w:val="1"/>
    <w:next w:val="1"/>
    <w:autoRedefine/>
    <w:qFormat/>
    <w:uiPriority w:val="0"/>
    <w:pPr>
      <w:keepNext/>
      <w:keepLines/>
      <w:numPr>
        <w:ilvl w:val="3"/>
        <w:numId w:val="1"/>
      </w:numPr>
      <w:spacing w:line="360" w:lineRule="auto"/>
      <w:outlineLvl w:val="3"/>
    </w:pPr>
    <w:rPr>
      <w:b/>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List 3"/>
    <w:basedOn w:val="1"/>
    <w:qFormat/>
    <w:uiPriority w:val="0"/>
    <w:pPr>
      <w:contextualSpacing/>
      <w:jc w:val="center"/>
    </w:pPr>
  </w:style>
  <w:style w:type="paragraph" w:styleId="7">
    <w:name w:val="Normal Indent"/>
    <w:basedOn w:val="1"/>
    <w:autoRedefine/>
    <w:qFormat/>
    <w:uiPriority w:val="0"/>
    <w:pPr>
      <w:ind w:firstLine="420" w:firstLineChars="200"/>
    </w:pPr>
  </w:style>
  <w:style w:type="paragraph" w:styleId="8">
    <w:name w:val="caption"/>
    <w:basedOn w:val="1"/>
    <w:next w:val="1"/>
    <w:autoRedefine/>
    <w:qFormat/>
    <w:uiPriority w:val="0"/>
    <w:rPr>
      <w:rFonts w:ascii="Cambria" w:hAnsi="Cambria" w:eastAsia="黑体"/>
      <w:sz w:val="20"/>
      <w:szCs w:val="20"/>
    </w:rPr>
  </w:style>
  <w:style w:type="paragraph" w:styleId="9">
    <w:name w:val="annotation text"/>
    <w:basedOn w:val="1"/>
    <w:link w:val="68"/>
    <w:autoRedefine/>
    <w:semiHidden/>
    <w:qFormat/>
    <w:uiPriority w:val="0"/>
    <w:pPr>
      <w:jc w:val="left"/>
    </w:pPr>
    <w:rPr>
      <w:kern w:val="0"/>
      <w:sz w:val="24"/>
      <w:szCs w:val="20"/>
    </w:rPr>
  </w:style>
  <w:style w:type="paragraph" w:styleId="10">
    <w:name w:val="Body Text"/>
    <w:basedOn w:val="1"/>
    <w:next w:val="11"/>
    <w:link w:val="67"/>
    <w:autoRedefine/>
    <w:qFormat/>
    <w:uiPriority w:val="0"/>
    <w:pPr>
      <w:widowControl/>
      <w:snapToGrid w:val="0"/>
      <w:spacing w:before="60" w:after="160" w:line="259" w:lineRule="auto"/>
      <w:ind w:right="113"/>
    </w:pPr>
    <w:rPr>
      <w:kern w:val="0"/>
      <w:sz w:val="18"/>
      <w:szCs w:val="20"/>
    </w:rPr>
  </w:style>
  <w:style w:type="paragraph" w:styleId="11">
    <w:name w:val="List Bullet 5"/>
    <w:basedOn w:val="1"/>
    <w:qFormat/>
    <w:uiPriority w:val="0"/>
    <w:pPr>
      <w:numPr>
        <w:ilvl w:val="0"/>
        <w:numId w:val="2"/>
      </w:numPr>
    </w:pPr>
  </w:style>
  <w:style w:type="paragraph" w:styleId="12">
    <w:name w:val="Body Text Indent"/>
    <w:basedOn w:val="1"/>
    <w:next w:val="13"/>
    <w:link w:val="69"/>
    <w:autoRedefine/>
    <w:qFormat/>
    <w:uiPriority w:val="0"/>
    <w:pPr>
      <w:spacing w:after="120"/>
      <w:ind w:left="420" w:leftChars="200"/>
    </w:pPr>
    <w:rPr>
      <w:kern w:val="0"/>
      <w:sz w:val="24"/>
      <w:szCs w:val="20"/>
    </w:rPr>
  </w:style>
  <w:style w:type="paragraph" w:customStyle="1" w:styleId="13">
    <w:name w:val="样式 标题 1一级标题 + 段前: 0.5 行 段后: 0.5 行"/>
    <w:basedOn w:val="2"/>
    <w:qFormat/>
    <w:uiPriority w:val="0"/>
    <w:pPr>
      <w:spacing w:line="320" w:lineRule="exact"/>
      <w:outlineLvl w:val="9"/>
    </w:pPr>
    <w:rPr>
      <w:rFonts w:eastAsia="宋体"/>
      <w:spacing w:val="-6"/>
      <w:sz w:val="21"/>
      <w:szCs w:val="21"/>
    </w:rPr>
  </w:style>
  <w:style w:type="paragraph" w:styleId="14">
    <w:name w:val="Block Text"/>
    <w:basedOn w:val="1"/>
    <w:autoRedefine/>
    <w:qFormat/>
    <w:uiPriority w:val="0"/>
    <w:pPr>
      <w:spacing w:line="460" w:lineRule="atLeast"/>
      <w:ind w:left="108" w:right="170" w:firstLine="499"/>
    </w:pPr>
    <w:rPr>
      <w:sz w:val="24"/>
      <w:szCs w:val="20"/>
    </w:rPr>
  </w:style>
  <w:style w:type="paragraph" w:styleId="15">
    <w:name w:val="Plain Text"/>
    <w:basedOn w:val="1"/>
    <w:autoRedefine/>
    <w:qFormat/>
    <w:uiPriority w:val="0"/>
    <w:rPr>
      <w:rFonts w:ascii="宋体" w:hAnsi="Courier New"/>
      <w:szCs w:val="21"/>
    </w:rPr>
  </w:style>
  <w:style w:type="paragraph" w:styleId="16">
    <w:name w:val="Date"/>
    <w:basedOn w:val="1"/>
    <w:next w:val="1"/>
    <w:link w:val="70"/>
    <w:autoRedefine/>
    <w:qFormat/>
    <w:uiPriority w:val="0"/>
    <w:pPr>
      <w:ind w:left="100" w:leftChars="2500"/>
    </w:pPr>
    <w:rPr>
      <w:kern w:val="0"/>
      <w:sz w:val="24"/>
      <w:szCs w:val="20"/>
    </w:rPr>
  </w:style>
  <w:style w:type="paragraph" w:styleId="17">
    <w:name w:val="Body Text Indent 2"/>
    <w:basedOn w:val="1"/>
    <w:next w:val="18"/>
    <w:autoRedefine/>
    <w:qFormat/>
    <w:uiPriority w:val="0"/>
    <w:pPr>
      <w:spacing w:line="360" w:lineRule="auto"/>
      <w:ind w:firstLine="420" w:firstLineChars="200"/>
    </w:pPr>
    <w:rPr>
      <w:sz w:val="28"/>
      <w:szCs w:val="20"/>
    </w:rPr>
  </w:style>
  <w:style w:type="paragraph" w:customStyle="1" w:styleId="18">
    <w:name w:val="表格文字"/>
    <w:basedOn w:val="1"/>
    <w:autoRedefine/>
    <w:qFormat/>
    <w:uiPriority w:val="0"/>
    <w:pPr>
      <w:tabs>
        <w:tab w:val="left" w:pos="-2848"/>
      </w:tabs>
      <w:jc w:val="center"/>
    </w:pPr>
    <w:rPr>
      <w:position w:val="-10"/>
      <w:szCs w:val="20"/>
    </w:rPr>
  </w:style>
  <w:style w:type="paragraph" w:styleId="19">
    <w:name w:val="Balloon Text"/>
    <w:basedOn w:val="1"/>
    <w:link w:val="71"/>
    <w:autoRedefine/>
    <w:semiHidden/>
    <w:qFormat/>
    <w:uiPriority w:val="0"/>
    <w:rPr>
      <w:kern w:val="0"/>
      <w:sz w:val="18"/>
      <w:szCs w:val="20"/>
    </w:rPr>
  </w:style>
  <w:style w:type="paragraph" w:styleId="20">
    <w:name w:val="footer"/>
    <w:basedOn w:val="1"/>
    <w:link w:val="72"/>
    <w:autoRedefine/>
    <w:qFormat/>
    <w:uiPriority w:val="99"/>
    <w:pPr>
      <w:tabs>
        <w:tab w:val="center" w:pos="4153"/>
        <w:tab w:val="right" w:pos="8306"/>
      </w:tabs>
      <w:snapToGrid w:val="0"/>
      <w:jc w:val="left"/>
    </w:pPr>
    <w:rPr>
      <w:kern w:val="0"/>
      <w:sz w:val="18"/>
      <w:szCs w:val="20"/>
    </w:rPr>
  </w:style>
  <w:style w:type="paragraph" w:styleId="21">
    <w:name w:val="header"/>
    <w:basedOn w:val="1"/>
    <w:link w:val="73"/>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autoRedefine/>
    <w:qFormat/>
    <w:uiPriority w:val="0"/>
  </w:style>
  <w:style w:type="paragraph" w:styleId="23">
    <w:name w:val="Body Text 2"/>
    <w:basedOn w:val="1"/>
    <w:autoRedefine/>
    <w:qFormat/>
    <w:uiPriority w:val="0"/>
    <w:pPr>
      <w:spacing w:after="120" w:line="480" w:lineRule="auto"/>
    </w:pPr>
  </w:style>
  <w:style w:type="paragraph" w:styleId="24">
    <w:name w:val="Normal (Web)"/>
    <w:basedOn w:val="1"/>
    <w:link w:val="74"/>
    <w:autoRedefine/>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9"/>
    <w:next w:val="9"/>
    <w:link w:val="75"/>
    <w:autoRedefine/>
    <w:semiHidden/>
    <w:qFormat/>
    <w:uiPriority w:val="0"/>
    <w:rPr>
      <w:b/>
    </w:rPr>
  </w:style>
  <w:style w:type="paragraph" w:styleId="26">
    <w:name w:val="Body Text First Indent"/>
    <w:basedOn w:val="10"/>
    <w:autoRedefine/>
    <w:unhideWhenUsed/>
    <w:qFormat/>
    <w:uiPriority w:val="99"/>
    <w:pPr>
      <w:ind w:firstLine="420" w:firstLineChars="100"/>
    </w:pPr>
    <w:rPr>
      <w:kern w:val="2"/>
      <w:szCs w:val="24"/>
    </w:rPr>
  </w:style>
  <w:style w:type="paragraph" w:styleId="27">
    <w:name w:val="Body Text First Indent 2"/>
    <w:basedOn w:val="12"/>
    <w:next w:val="1"/>
    <w:autoRedefine/>
    <w:qFormat/>
    <w:uiPriority w:val="0"/>
    <w:pPr>
      <w:ind w:firstLine="420" w:firstLineChars="200"/>
    </w:pPr>
    <w:rPr>
      <w:kern w:val="2"/>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autoRedefine/>
    <w:qFormat/>
    <w:uiPriority w:val="0"/>
    <w:rPr>
      <w:b/>
    </w:rPr>
  </w:style>
  <w:style w:type="character" w:styleId="32">
    <w:name w:val="page number"/>
    <w:autoRedefine/>
    <w:qFormat/>
    <w:uiPriority w:val="0"/>
  </w:style>
  <w:style w:type="character" w:styleId="33">
    <w:name w:val="Emphasis"/>
    <w:basedOn w:val="30"/>
    <w:qFormat/>
    <w:uiPriority w:val="0"/>
    <w:rPr>
      <w:i/>
    </w:rPr>
  </w:style>
  <w:style w:type="character" w:styleId="34">
    <w:name w:val="Hyperlink"/>
    <w:autoRedefine/>
    <w:qFormat/>
    <w:uiPriority w:val="0"/>
    <w:rPr>
      <w:color w:val="0000FF"/>
      <w:u w:val="single"/>
    </w:rPr>
  </w:style>
  <w:style w:type="character" w:styleId="35">
    <w:name w:val="annotation reference"/>
    <w:basedOn w:val="30"/>
    <w:autoRedefine/>
    <w:semiHidden/>
    <w:qFormat/>
    <w:uiPriority w:val="0"/>
    <w:rPr>
      <w:sz w:val="21"/>
    </w:rPr>
  </w:style>
  <w:style w:type="paragraph" w:customStyle="1" w:styleId="36">
    <w:name w:val="CXY 正文"/>
    <w:basedOn w:val="1"/>
    <w:link w:val="37"/>
    <w:autoRedefine/>
    <w:qFormat/>
    <w:uiPriority w:val="0"/>
    <w:pPr>
      <w:spacing w:line="360" w:lineRule="auto"/>
      <w:ind w:firstLine="723" w:firstLineChars="200"/>
    </w:pPr>
    <w:rPr>
      <w:rFonts w:hint="eastAsia"/>
      <w:sz w:val="24"/>
    </w:rPr>
  </w:style>
  <w:style w:type="character" w:customStyle="1" w:styleId="37">
    <w:name w:val="CXY 正文 Char"/>
    <w:link w:val="36"/>
    <w:autoRedefine/>
    <w:qFormat/>
    <w:uiPriority w:val="0"/>
    <w:rPr>
      <w:rFonts w:hint="eastAsia" w:ascii="Times New Roman" w:hAnsi="Times New Roman" w:eastAsia="宋体" w:cs="Times New Roman"/>
      <w:sz w:val="24"/>
    </w:rPr>
  </w:style>
  <w:style w:type="paragraph" w:customStyle="1" w:styleId="38">
    <w:name w:val="CXY表内"/>
    <w:basedOn w:val="1"/>
    <w:link w:val="39"/>
    <w:autoRedefine/>
    <w:qFormat/>
    <w:uiPriority w:val="0"/>
    <w:pPr>
      <w:tabs>
        <w:tab w:val="left" w:pos="0"/>
      </w:tabs>
      <w:jc w:val="center"/>
    </w:pPr>
    <w:rPr>
      <w:szCs w:val="21"/>
    </w:rPr>
  </w:style>
  <w:style w:type="character" w:customStyle="1" w:styleId="39">
    <w:name w:val="CXY表内 Char1"/>
    <w:link w:val="38"/>
    <w:qFormat/>
    <w:uiPriority w:val="0"/>
    <w:rPr>
      <w:rFonts w:ascii="Times New Roman" w:hAnsi="Times New Roman" w:eastAsia="宋体" w:cs="Times New Roman"/>
      <w:sz w:val="21"/>
      <w:szCs w:val="21"/>
    </w:rPr>
  </w:style>
  <w:style w:type="paragraph" w:customStyle="1" w:styleId="40">
    <w:name w:val="CXY表头"/>
    <w:basedOn w:val="1"/>
    <w:autoRedefine/>
    <w:qFormat/>
    <w:uiPriority w:val="0"/>
    <w:pPr>
      <w:numPr>
        <w:ilvl w:val="3"/>
        <w:numId w:val="3"/>
      </w:numPr>
      <w:tabs>
        <w:tab w:val="left" w:pos="0"/>
      </w:tabs>
      <w:ind w:left="567" w:hanging="567"/>
      <w:jc w:val="center"/>
    </w:pPr>
    <w:rPr>
      <w:b/>
      <w:bCs/>
      <w:color w:val="000000"/>
      <w:szCs w:val="21"/>
      <w:lang w:val="zh-TW" w:eastAsia="zh-TW"/>
    </w:rPr>
  </w:style>
  <w:style w:type="paragraph" w:customStyle="1" w:styleId="41">
    <w:name w:val="CH表头"/>
    <w:basedOn w:val="42"/>
    <w:next w:val="42"/>
    <w:autoRedefine/>
    <w:qFormat/>
    <w:uiPriority w:val="0"/>
    <w:pPr>
      <w:numPr>
        <w:ilvl w:val="3"/>
        <w:numId w:val="4"/>
      </w:numPr>
      <w:tabs>
        <w:tab w:val="left" w:pos="0"/>
      </w:tabs>
      <w:spacing w:line="240" w:lineRule="auto"/>
      <w:ind w:firstLineChars="0"/>
      <w:jc w:val="center"/>
    </w:pPr>
    <w:rPr>
      <w:b/>
      <w:bCs/>
      <w:color w:val="000000"/>
      <w:sz w:val="21"/>
      <w:szCs w:val="21"/>
      <w:lang w:val="zh-TW" w:eastAsia="zh-TW"/>
    </w:rPr>
  </w:style>
  <w:style w:type="paragraph" w:customStyle="1" w:styleId="42">
    <w:name w:val="yt正文"/>
    <w:basedOn w:val="7"/>
    <w:next w:val="17"/>
    <w:link w:val="58"/>
    <w:autoRedefine/>
    <w:qFormat/>
    <w:uiPriority w:val="0"/>
    <w:pPr>
      <w:spacing w:line="360" w:lineRule="auto"/>
      <w:ind w:firstLine="200"/>
    </w:pPr>
    <w:rPr>
      <w:sz w:val="24"/>
    </w:rPr>
  </w:style>
  <w:style w:type="paragraph" w:customStyle="1" w:styleId="43">
    <w:name w:val="CH表内"/>
    <w:basedOn w:val="1"/>
    <w:link w:val="44"/>
    <w:autoRedefine/>
    <w:qFormat/>
    <w:uiPriority w:val="0"/>
    <w:pPr>
      <w:tabs>
        <w:tab w:val="left" w:pos="0"/>
      </w:tabs>
      <w:jc w:val="center"/>
    </w:pPr>
    <w:rPr>
      <w:szCs w:val="21"/>
    </w:rPr>
  </w:style>
  <w:style w:type="character" w:customStyle="1" w:styleId="44">
    <w:name w:val="CH表内 Char"/>
    <w:link w:val="43"/>
    <w:autoRedefine/>
    <w:qFormat/>
    <w:uiPriority w:val="0"/>
    <w:rPr>
      <w:rFonts w:ascii="Times New Roman" w:hAnsi="Times New Roman" w:eastAsia="宋体"/>
      <w:sz w:val="21"/>
      <w:szCs w:val="21"/>
    </w:rPr>
  </w:style>
  <w:style w:type="paragraph" w:customStyle="1" w:styleId="45">
    <w:name w:val="CH二级标"/>
    <w:basedOn w:val="1"/>
    <w:autoRedefine/>
    <w:qFormat/>
    <w:uiPriority w:val="0"/>
    <w:pPr>
      <w:numPr>
        <w:ilvl w:val="1"/>
        <w:numId w:val="5"/>
      </w:numPr>
      <w:tabs>
        <w:tab w:val="left" w:pos="0"/>
      </w:tabs>
      <w:outlineLvl w:val="1"/>
    </w:pPr>
    <w:rPr>
      <w:b/>
      <w:bCs/>
      <w:sz w:val="32"/>
      <w:szCs w:val="32"/>
    </w:rPr>
  </w:style>
  <w:style w:type="paragraph" w:customStyle="1" w:styleId="46">
    <w:name w:val="CXY二级标"/>
    <w:basedOn w:val="1"/>
    <w:autoRedefine/>
    <w:qFormat/>
    <w:uiPriority w:val="0"/>
    <w:pPr>
      <w:numPr>
        <w:ilvl w:val="1"/>
        <w:numId w:val="6"/>
      </w:numPr>
      <w:tabs>
        <w:tab w:val="left" w:pos="0"/>
      </w:tabs>
      <w:outlineLvl w:val="1"/>
    </w:pPr>
    <w:rPr>
      <w:b/>
      <w:bCs/>
      <w:sz w:val="32"/>
      <w:szCs w:val="32"/>
    </w:rPr>
  </w:style>
  <w:style w:type="paragraph" w:customStyle="1" w:styleId="47">
    <w:name w:val="CXY三级标"/>
    <w:basedOn w:val="1"/>
    <w:autoRedefine/>
    <w:qFormat/>
    <w:uiPriority w:val="0"/>
    <w:pPr>
      <w:numPr>
        <w:ilvl w:val="2"/>
        <w:numId w:val="6"/>
      </w:numPr>
      <w:tabs>
        <w:tab w:val="left" w:pos="0"/>
      </w:tabs>
    </w:pPr>
    <w:rPr>
      <w:rFonts w:cstheme="minorBidi"/>
      <w:b/>
      <w:bCs/>
      <w:sz w:val="28"/>
      <w:szCs w:val="28"/>
    </w:rPr>
  </w:style>
  <w:style w:type="paragraph" w:customStyle="1" w:styleId="48">
    <w:name w:val="CXY图标"/>
    <w:basedOn w:val="1"/>
    <w:autoRedefine/>
    <w:qFormat/>
    <w:uiPriority w:val="0"/>
    <w:pPr>
      <w:numPr>
        <w:ilvl w:val="4"/>
        <w:numId w:val="7"/>
      </w:numPr>
      <w:tabs>
        <w:tab w:val="left" w:pos="0"/>
        <w:tab w:val="left" w:pos="105"/>
      </w:tabs>
      <w:jc w:val="center"/>
    </w:pPr>
    <w:rPr>
      <w:b/>
      <w:bCs/>
      <w:szCs w:val="21"/>
    </w:rPr>
  </w:style>
  <w:style w:type="paragraph" w:customStyle="1" w:styleId="49">
    <w:name w:val="CXY一级标"/>
    <w:basedOn w:val="1"/>
    <w:autoRedefine/>
    <w:qFormat/>
    <w:uiPriority w:val="0"/>
    <w:pPr>
      <w:numPr>
        <w:ilvl w:val="0"/>
        <w:numId w:val="8"/>
      </w:numPr>
      <w:tabs>
        <w:tab w:val="left" w:pos="0"/>
      </w:tabs>
      <w:spacing w:line="480" w:lineRule="auto"/>
      <w:jc w:val="center"/>
      <w:outlineLvl w:val="0"/>
    </w:pPr>
    <w:rPr>
      <w:b/>
      <w:bCs/>
      <w:sz w:val="36"/>
      <w:szCs w:val="36"/>
    </w:rPr>
  </w:style>
  <w:style w:type="paragraph" w:customStyle="1" w:styleId="50">
    <w:name w:val="CXY章节"/>
    <w:basedOn w:val="42"/>
    <w:next w:val="42"/>
    <w:link w:val="51"/>
    <w:autoRedefine/>
    <w:qFormat/>
    <w:uiPriority w:val="0"/>
    <w:pPr>
      <w:numPr>
        <w:ilvl w:val="0"/>
        <w:numId w:val="9"/>
      </w:numPr>
      <w:ind w:firstLineChars="0"/>
      <w:jc w:val="center"/>
    </w:pPr>
    <w:rPr>
      <w:rFonts w:eastAsia="黑体"/>
      <w:b/>
      <w:bCs/>
      <w:sz w:val="30"/>
      <w:szCs w:val="30"/>
    </w:rPr>
  </w:style>
  <w:style w:type="character" w:customStyle="1" w:styleId="51">
    <w:name w:val="CH表头 Char"/>
    <w:link w:val="50"/>
    <w:autoRedefine/>
    <w:qFormat/>
    <w:uiPriority w:val="0"/>
    <w:rPr>
      <w:rFonts w:ascii="Times New Roman" w:hAnsi="Times New Roman" w:eastAsia="黑体"/>
      <w:b/>
      <w:bCs/>
      <w:sz w:val="30"/>
      <w:szCs w:val="30"/>
    </w:rPr>
  </w:style>
  <w:style w:type="paragraph" w:customStyle="1" w:styleId="52">
    <w:name w:val="yt表头"/>
    <w:basedOn w:val="1"/>
    <w:next w:val="42"/>
    <w:link w:val="56"/>
    <w:autoRedefine/>
    <w:qFormat/>
    <w:uiPriority w:val="0"/>
    <w:pPr>
      <w:numPr>
        <w:ilvl w:val="3"/>
        <w:numId w:val="9"/>
      </w:numPr>
      <w:tabs>
        <w:tab w:val="left" w:pos="283"/>
      </w:tabs>
      <w:jc w:val="center"/>
    </w:pPr>
    <w:rPr>
      <w:b/>
      <w:szCs w:val="21"/>
    </w:rPr>
  </w:style>
  <w:style w:type="paragraph" w:customStyle="1" w:styleId="53">
    <w:name w:val="yt图标"/>
    <w:basedOn w:val="7"/>
    <w:link w:val="57"/>
    <w:autoRedefine/>
    <w:qFormat/>
    <w:uiPriority w:val="0"/>
    <w:pPr>
      <w:numPr>
        <w:ilvl w:val="4"/>
        <w:numId w:val="9"/>
      </w:numPr>
      <w:tabs>
        <w:tab w:val="left" w:pos="283"/>
      </w:tabs>
      <w:jc w:val="center"/>
    </w:pPr>
    <w:rPr>
      <w:b/>
      <w:szCs w:val="21"/>
    </w:rPr>
  </w:style>
  <w:style w:type="paragraph" w:customStyle="1" w:styleId="54">
    <w:name w:val="yt表内"/>
    <w:basedOn w:val="42"/>
    <w:next w:val="42"/>
    <w:link w:val="55"/>
    <w:autoRedefine/>
    <w:qFormat/>
    <w:uiPriority w:val="0"/>
    <w:pPr>
      <w:spacing w:line="240" w:lineRule="atLeast"/>
      <w:ind w:firstLine="0" w:firstLineChars="0"/>
      <w:jc w:val="center"/>
    </w:pPr>
    <w:rPr>
      <w:sz w:val="21"/>
      <w:szCs w:val="21"/>
    </w:rPr>
  </w:style>
  <w:style w:type="character" w:customStyle="1" w:styleId="55">
    <w:name w:val="yt表内 Char"/>
    <w:link w:val="54"/>
    <w:autoRedefine/>
    <w:qFormat/>
    <w:uiPriority w:val="0"/>
    <w:rPr>
      <w:rFonts w:ascii="Times New Roman" w:hAnsi="Times New Roman" w:eastAsia="宋体"/>
      <w:sz w:val="21"/>
      <w:szCs w:val="21"/>
    </w:rPr>
  </w:style>
  <w:style w:type="character" w:customStyle="1" w:styleId="56">
    <w:name w:val="yt表头 Char"/>
    <w:link w:val="52"/>
    <w:autoRedefine/>
    <w:qFormat/>
    <w:uiPriority w:val="0"/>
    <w:rPr>
      <w:rFonts w:ascii="Times New Roman" w:hAnsi="Times New Roman" w:eastAsia="宋体"/>
      <w:b/>
      <w:szCs w:val="21"/>
    </w:rPr>
  </w:style>
  <w:style w:type="character" w:customStyle="1" w:styleId="57">
    <w:name w:val="yt图标 Char"/>
    <w:link w:val="53"/>
    <w:autoRedefine/>
    <w:qFormat/>
    <w:uiPriority w:val="0"/>
    <w:rPr>
      <w:rFonts w:ascii="Times New Roman" w:hAnsi="Times New Roman" w:eastAsia="宋体"/>
      <w:b/>
      <w:szCs w:val="21"/>
    </w:rPr>
  </w:style>
  <w:style w:type="character" w:customStyle="1" w:styleId="58">
    <w:name w:val="yt正文 Char"/>
    <w:link w:val="42"/>
    <w:autoRedefine/>
    <w:qFormat/>
    <w:uiPriority w:val="0"/>
    <w:rPr>
      <w:rFonts w:ascii="Times New Roman" w:hAnsi="Times New Roman" w:eastAsia="宋体"/>
      <w:sz w:val="24"/>
    </w:rPr>
  </w:style>
  <w:style w:type="paragraph" w:customStyle="1" w:styleId="59">
    <w:name w:val="CXY四级标"/>
    <w:basedOn w:val="1"/>
    <w:next w:val="1"/>
    <w:qFormat/>
    <w:uiPriority w:val="0"/>
    <w:pPr>
      <w:keepNext/>
      <w:keepLines/>
      <w:numPr>
        <w:ilvl w:val="5"/>
        <w:numId w:val="10"/>
      </w:numPr>
      <w:spacing w:line="360" w:lineRule="auto"/>
      <w:contextualSpacing/>
      <w:jc w:val="left"/>
      <w:outlineLvl w:val="3"/>
    </w:pPr>
    <w:rPr>
      <w:rFonts w:cstheme="minorBidi"/>
      <w:b/>
      <w:bCs/>
    </w:rPr>
  </w:style>
  <w:style w:type="paragraph" w:customStyle="1" w:styleId="60">
    <w:name w:val="Default"/>
    <w:basedOn w:val="61"/>
    <w:next w:val="27"/>
    <w:autoRedefine/>
    <w:qFormat/>
    <w:uiPriority w:val="0"/>
    <w:pPr>
      <w:autoSpaceDE w:val="0"/>
      <w:autoSpaceDN w:val="0"/>
      <w:adjustRightInd w:val="0"/>
    </w:pPr>
    <w:rPr>
      <w:rFonts w:ascii="宋体" w:hAnsi="Calibri" w:cs="宋体"/>
      <w:sz w:val="24"/>
    </w:rPr>
  </w:style>
  <w:style w:type="paragraph" w:customStyle="1" w:styleId="61">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62">
    <w:name w:val="xl27"/>
    <w:basedOn w:val="1"/>
    <w:autoRedefine/>
    <w:qFormat/>
    <w:uiPriority w:val="0"/>
    <w:pPr>
      <w:widowControl/>
      <w:pBdr>
        <w:bottom w:val="single" w:color="auto" w:sz="12" w:space="0"/>
      </w:pBdr>
      <w:spacing w:before="100" w:after="100"/>
      <w:jc w:val="center"/>
    </w:pPr>
    <w:rPr>
      <w:rFonts w:ascii="宋体" w:hAnsi="宋体"/>
      <w:kern w:val="0"/>
      <w:szCs w:val="20"/>
    </w:rPr>
  </w:style>
  <w:style w:type="paragraph" w:customStyle="1" w:styleId="63">
    <w:name w:val="正文首行缩进2个字 Char"/>
    <w:basedOn w:val="1"/>
    <w:autoRedefine/>
    <w:qFormat/>
    <w:uiPriority w:val="0"/>
    <w:pPr>
      <w:ind w:firstLine="480" w:firstLineChars="200"/>
    </w:pPr>
    <w:rPr>
      <w:rFonts w:eastAsia="楷体"/>
      <w:sz w:val="24"/>
    </w:rPr>
  </w:style>
  <w:style w:type="paragraph" w:customStyle="1" w:styleId="64">
    <w:name w:val="CH正文"/>
    <w:basedOn w:val="1"/>
    <w:link w:val="161"/>
    <w:autoRedefine/>
    <w:qFormat/>
    <w:uiPriority w:val="0"/>
    <w:pPr>
      <w:spacing w:line="360" w:lineRule="auto"/>
      <w:ind w:firstLine="720" w:firstLineChars="200"/>
    </w:pPr>
    <w:rPr>
      <w:sz w:val="24"/>
    </w:rPr>
  </w:style>
  <w:style w:type="paragraph" w:customStyle="1" w:styleId="65">
    <w:name w:val="Default1"/>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6">
    <w:name w:val="样式 正文文本缩进 + 行距: 1.5 倍行距"/>
    <w:basedOn w:val="12"/>
    <w:autoRedefine/>
    <w:qFormat/>
    <w:uiPriority w:val="0"/>
    <w:pPr>
      <w:tabs>
        <w:tab w:val="left" w:pos="3420"/>
      </w:tabs>
      <w:spacing w:line="360" w:lineRule="auto"/>
      <w:ind w:left="90" w:leftChars="32" w:firstLine="560"/>
    </w:pPr>
    <w:rPr>
      <w:rFonts w:cs="宋体"/>
    </w:rPr>
  </w:style>
  <w:style w:type="character" w:customStyle="1" w:styleId="67">
    <w:name w:val="正文文本 Char"/>
    <w:link w:val="10"/>
    <w:autoRedefine/>
    <w:qFormat/>
    <w:uiPriority w:val="0"/>
    <w:rPr>
      <w:sz w:val="18"/>
    </w:rPr>
  </w:style>
  <w:style w:type="character" w:customStyle="1" w:styleId="68">
    <w:name w:val="批注文字 Char"/>
    <w:link w:val="9"/>
    <w:autoRedefine/>
    <w:qFormat/>
    <w:uiPriority w:val="0"/>
    <w:rPr>
      <w:rFonts w:ascii="Times New Roman" w:hAnsi="Times New Roman" w:eastAsia="宋体"/>
      <w:sz w:val="24"/>
    </w:rPr>
  </w:style>
  <w:style w:type="character" w:customStyle="1" w:styleId="69">
    <w:name w:val="正文文本缩进 Char"/>
    <w:link w:val="12"/>
    <w:autoRedefine/>
    <w:semiHidden/>
    <w:qFormat/>
    <w:uiPriority w:val="0"/>
    <w:rPr>
      <w:rFonts w:ascii="Times New Roman" w:hAnsi="Times New Roman" w:eastAsia="宋体"/>
      <w:sz w:val="24"/>
    </w:rPr>
  </w:style>
  <w:style w:type="character" w:customStyle="1" w:styleId="70">
    <w:name w:val="日期 Char"/>
    <w:link w:val="16"/>
    <w:autoRedefine/>
    <w:qFormat/>
    <w:uiPriority w:val="0"/>
    <w:rPr>
      <w:rFonts w:ascii="Times New Roman" w:hAnsi="Times New Roman" w:eastAsia="宋体"/>
      <w:sz w:val="24"/>
    </w:rPr>
  </w:style>
  <w:style w:type="character" w:customStyle="1" w:styleId="71">
    <w:name w:val="批注框文本 Char"/>
    <w:link w:val="19"/>
    <w:autoRedefine/>
    <w:semiHidden/>
    <w:qFormat/>
    <w:uiPriority w:val="0"/>
    <w:rPr>
      <w:rFonts w:ascii="Times New Roman" w:hAnsi="Times New Roman" w:eastAsia="宋体"/>
      <w:sz w:val="18"/>
    </w:rPr>
  </w:style>
  <w:style w:type="character" w:customStyle="1" w:styleId="72">
    <w:name w:val="页脚 Char"/>
    <w:link w:val="20"/>
    <w:autoRedefine/>
    <w:qFormat/>
    <w:uiPriority w:val="99"/>
    <w:rPr>
      <w:sz w:val="18"/>
    </w:rPr>
  </w:style>
  <w:style w:type="character" w:customStyle="1" w:styleId="73">
    <w:name w:val="页眉 Char"/>
    <w:link w:val="21"/>
    <w:autoRedefine/>
    <w:qFormat/>
    <w:uiPriority w:val="0"/>
    <w:rPr>
      <w:sz w:val="18"/>
    </w:rPr>
  </w:style>
  <w:style w:type="character" w:customStyle="1" w:styleId="74">
    <w:name w:val="普通(网站) Char"/>
    <w:link w:val="24"/>
    <w:autoRedefine/>
    <w:qFormat/>
    <w:uiPriority w:val="0"/>
    <w:rPr>
      <w:rFonts w:ascii="宋体" w:hAnsi="宋体" w:eastAsia="宋体"/>
      <w:sz w:val="24"/>
    </w:rPr>
  </w:style>
  <w:style w:type="character" w:customStyle="1" w:styleId="75">
    <w:name w:val="批注主题 Char"/>
    <w:link w:val="25"/>
    <w:autoRedefine/>
    <w:semiHidden/>
    <w:qFormat/>
    <w:uiPriority w:val="0"/>
    <w:rPr>
      <w:rFonts w:ascii="Times New Roman" w:hAnsi="Times New Roman" w:eastAsia="宋体"/>
      <w:b/>
      <w:kern w:val="2"/>
      <w:sz w:val="24"/>
    </w:rPr>
  </w:style>
  <w:style w:type="character" w:customStyle="1" w:styleId="76">
    <w:name w:val="页脚 字符"/>
    <w:autoRedefine/>
    <w:qFormat/>
    <w:uiPriority w:val="99"/>
  </w:style>
  <w:style w:type="character" w:customStyle="1" w:styleId="77">
    <w:name w:val="日期 字符"/>
    <w:autoRedefine/>
    <w:semiHidden/>
    <w:qFormat/>
    <w:uiPriority w:val="0"/>
    <w:rPr>
      <w:rFonts w:ascii="Times New Roman" w:hAnsi="Times New Roman" w:eastAsia="宋体"/>
      <w:sz w:val="24"/>
    </w:rPr>
  </w:style>
  <w:style w:type="character" w:customStyle="1" w:styleId="78">
    <w:name w:val="表格标题20150529"/>
    <w:autoRedefine/>
    <w:qFormat/>
    <w:uiPriority w:val="0"/>
    <w:rPr>
      <w:rFonts w:hint="default" w:ascii="Times New Roman" w:hAnsi="Times New Roman" w:eastAsia="仿宋_GB2312" w:cs="Times New Roman"/>
      <w:b/>
      <w:bCs/>
      <w:snapToGrid w:val="0"/>
      <w:color w:val="000000"/>
      <w:spacing w:val="4"/>
      <w:kern w:val="0"/>
      <w:sz w:val="24"/>
      <w:szCs w:val="24"/>
    </w:rPr>
  </w:style>
  <w:style w:type="character" w:customStyle="1" w:styleId="79">
    <w:name w:val="正文文本 字符1"/>
    <w:autoRedefine/>
    <w:semiHidden/>
    <w:qFormat/>
    <w:uiPriority w:val="0"/>
    <w:rPr>
      <w:rFonts w:ascii="Times New Roman" w:hAnsi="Times New Roman" w:eastAsia="宋体"/>
      <w:sz w:val="24"/>
    </w:rPr>
  </w:style>
  <w:style w:type="character" w:customStyle="1" w:styleId="80">
    <w:name w:val="font51"/>
    <w:autoRedefine/>
    <w:qFormat/>
    <w:uiPriority w:val="0"/>
    <w:rPr>
      <w:rFonts w:hint="default" w:ascii="Times New Roman" w:hAnsi="Times New Roman" w:cs="Times New Roman"/>
      <w:color w:val="000000"/>
      <w:sz w:val="21"/>
      <w:szCs w:val="21"/>
      <w:u w:val="none"/>
    </w:rPr>
  </w:style>
  <w:style w:type="character" w:customStyle="1" w:styleId="81">
    <w:name w:val="报告正文 Char"/>
    <w:link w:val="82"/>
    <w:autoRedefine/>
    <w:qFormat/>
    <w:uiPriority w:val="0"/>
    <w:rPr>
      <w:sz w:val="24"/>
    </w:rPr>
  </w:style>
  <w:style w:type="paragraph" w:customStyle="1" w:styleId="82">
    <w:name w:val="报告正文"/>
    <w:basedOn w:val="1"/>
    <w:link w:val="81"/>
    <w:autoRedefine/>
    <w:qFormat/>
    <w:uiPriority w:val="0"/>
    <w:pPr>
      <w:spacing w:line="360" w:lineRule="auto"/>
      <w:ind w:firstLine="482"/>
    </w:pPr>
    <w:rPr>
      <w:sz w:val="24"/>
    </w:rPr>
  </w:style>
  <w:style w:type="character" w:customStyle="1" w:styleId="83">
    <w:name w:val="表格 Char"/>
    <w:link w:val="84"/>
    <w:autoRedefine/>
    <w:qFormat/>
    <w:uiPriority w:val="0"/>
    <w:rPr>
      <w:rFonts w:ascii="宋体" w:hAnsi="宋体" w:eastAsia="宋体"/>
      <w:sz w:val="21"/>
      <w:szCs w:val="21"/>
    </w:rPr>
  </w:style>
  <w:style w:type="paragraph" w:customStyle="1" w:styleId="84">
    <w:name w:val="表格"/>
    <w:basedOn w:val="85"/>
    <w:next w:val="1"/>
    <w:link w:val="83"/>
    <w:autoRedefine/>
    <w:qFormat/>
    <w:uiPriority w:val="0"/>
    <w:pPr>
      <w:tabs>
        <w:tab w:val="left" w:pos="420"/>
        <w:tab w:val="left" w:pos="425"/>
      </w:tabs>
    </w:pPr>
    <w:rPr>
      <w:rFonts w:ascii="宋体" w:hAnsi="宋体"/>
      <w:kern w:val="0"/>
      <w:szCs w:val="21"/>
    </w:rPr>
  </w:style>
  <w:style w:type="paragraph" w:customStyle="1" w:styleId="85">
    <w:name w:val="表头"/>
    <w:basedOn w:val="86"/>
    <w:next w:val="42"/>
    <w:autoRedefine/>
    <w:qFormat/>
    <w:uiPriority w:val="0"/>
    <w:pPr>
      <w:numPr>
        <w:ilvl w:val="6"/>
        <w:numId w:val="11"/>
      </w:numPr>
      <w:tabs>
        <w:tab w:val="left" w:pos="425"/>
        <w:tab w:val="clear" w:pos="420"/>
      </w:tabs>
      <w:adjustRightInd w:val="0"/>
      <w:snapToGrid w:val="0"/>
      <w:ind w:left="1298" w:hanging="1298"/>
    </w:pPr>
    <w:rPr>
      <w:bCs/>
    </w:rPr>
  </w:style>
  <w:style w:type="paragraph" w:customStyle="1" w:styleId="86">
    <w:name w:val="表格内"/>
    <w:basedOn w:val="1"/>
    <w:autoRedefine/>
    <w:qFormat/>
    <w:uiPriority w:val="0"/>
    <w:pPr>
      <w:tabs>
        <w:tab w:val="left" w:pos="425"/>
      </w:tabs>
      <w:jc w:val="center"/>
    </w:pPr>
    <w:rPr>
      <w:szCs w:val="20"/>
    </w:rPr>
  </w:style>
  <w:style w:type="character" w:customStyle="1" w:styleId="87">
    <w:name w:val="二标"/>
    <w:autoRedefine/>
    <w:qFormat/>
    <w:uiPriority w:val="0"/>
    <w:rPr>
      <w:rFonts w:ascii="Times New Roman" w:hAnsi="Times New Roman" w:eastAsia="宋体"/>
      <w:b/>
      <w:sz w:val="28"/>
    </w:rPr>
  </w:style>
  <w:style w:type="character" w:customStyle="1" w:styleId="88">
    <w:name w:val="批注文字 字符1"/>
    <w:autoRedefine/>
    <w:semiHidden/>
    <w:qFormat/>
    <w:uiPriority w:val="0"/>
    <w:rPr>
      <w:rFonts w:ascii="Times New Roman" w:hAnsi="Times New Roman" w:eastAsia="宋体"/>
      <w:sz w:val="24"/>
    </w:rPr>
  </w:style>
  <w:style w:type="paragraph" w:customStyle="1" w:styleId="89">
    <w:name w:val="样式 文本正文 + 首行缩进:  2 字符3"/>
    <w:basedOn w:val="90"/>
    <w:autoRedefine/>
    <w:qFormat/>
    <w:uiPriority w:val="0"/>
    <w:pPr>
      <w:ind w:firstLine="496"/>
    </w:pPr>
    <w:rPr>
      <w:kern w:val="21"/>
    </w:rPr>
  </w:style>
  <w:style w:type="paragraph" w:customStyle="1" w:styleId="90">
    <w:name w:val="文本正文"/>
    <w:basedOn w:val="1"/>
    <w:autoRedefine/>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91">
    <w:name w:val="样式 正文20110824 + 宋体 首行缩进:  2 字符"/>
    <w:basedOn w:val="1"/>
    <w:autoRedefine/>
    <w:qFormat/>
    <w:uiPriority w:val="99"/>
    <w:pPr>
      <w:spacing w:line="360" w:lineRule="auto"/>
      <w:ind w:firstLine="200" w:firstLineChars="200"/>
    </w:pPr>
    <w:rPr>
      <w:color w:val="000000"/>
      <w:sz w:val="24"/>
      <w:szCs w:val="20"/>
    </w:rPr>
  </w:style>
  <w:style w:type="paragraph" w:customStyle="1" w:styleId="92">
    <w:name w:val="表内正文"/>
    <w:next w:val="1"/>
    <w:autoRedefine/>
    <w:qFormat/>
    <w:uiPriority w:val="0"/>
    <w:pPr>
      <w:adjustRightInd w:val="0"/>
      <w:snapToGrid w:val="0"/>
      <w:jc w:val="center"/>
    </w:pPr>
    <w:rPr>
      <w:rFonts w:ascii="Times New Roman" w:hAnsi="Times New Roman" w:eastAsia="宋体" w:cs="Times New Roman"/>
      <w:sz w:val="21"/>
      <w:lang w:val="en-US" w:eastAsia="zh-CN" w:bidi="ar-SA"/>
    </w:rPr>
  </w:style>
  <w:style w:type="paragraph" w:customStyle="1" w:styleId="93">
    <w:name w:val="样式 小四 行距: 1.5 倍行距"/>
    <w:basedOn w:val="1"/>
    <w:autoRedefine/>
    <w:qFormat/>
    <w:uiPriority w:val="0"/>
    <w:pPr>
      <w:ind w:firstLine="480" w:firstLineChars="200"/>
    </w:pPr>
    <w:rPr>
      <w:rFonts w:cs="宋体"/>
    </w:rPr>
  </w:style>
  <w:style w:type="paragraph" w:customStyle="1" w:styleId="94">
    <w:name w:val="样式 标题 2"/>
    <w:autoRedefine/>
    <w:qFormat/>
    <w:uiPriority w:val="0"/>
    <w:pPr>
      <w:keepNext/>
      <w:keepLines/>
      <w:widowControl w:val="0"/>
      <w:spacing w:before="50" w:after="50" w:line="413" w:lineRule="auto"/>
      <w:jc w:val="both"/>
      <w:outlineLvl w:val="1"/>
    </w:pPr>
    <w:rPr>
      <w:rFonts w:ascii="Arial" w:hAnsi="Arial" w:eastAsia="黑体" w:cs="Times New Roman"/>
      <w:b/>
      <w:kern w:val="2"/>
      <w:sz w:val="32"/>
      <w:szCs w:val="28"/>
      <w:lang w:val="en-US" w:eastAsia="zh-CN" w:bidi="ar-SA"/>
    </w:rPr>
  </w:style>
  <w:style w:type="paragraph" w:customStyle="1" w:styleId="95">
    <w:name w:val="一般正文"/>
    <w:basedOn w:val="1"/>
    <w:autoRedefine/>
    <w:qFormat/>
    <w:uiPriority w:val="0"/>
    <w:pPr>
      <w:snapToGrid w:val="0"/>
      <w:spacing w:line="360" w:lineRule="auto"/>
      <w:ind w:firstLine="420" w:firstLineChars="200"/>
      <w:jc w:val="left"/>
    </w:pPr>
  </w:style>
  <w:style w:type="paragraph" w:customStyle="1" w:styleId="96">
    <w:name w:val="Table Paragraph"/>
    <w:basedOn w:val="1"/>
    <w:autoRedefine/>
    <w:qFormat/>
    <w:uiPriority w:val="1"/>
    <w:pPr>
      <w:autoSpaceDE w:val="0"/>
      <w:autoSpaceDN w:val="0"/>
      <w:jc w:val="left"/>
    </w:pPr>
    <w:rPr>
      <w:rFonts w:ascii="宋体" w:hAnsi="宋体" w:cs="宋体"/>
      <w:kern w:val="0"/>
      <w:sz w:val="22"/>
      <w:szCs w:val="22"/>
      <w:lang w:val="zh-CN" w:bidi="zh-CN"/>
    </w:rPr>
  </w:style>
  <w:style w:type="paragraph" w:customStyle="1" w:styleId="97">
    <w:name w:val="BG"/>
    <w:basedOn w:val="1"/>
    <w:autoRedefine/>
    <w:unhideWhenUsed/>
    <w:qFormat/>
    <w:uiPriority w:val="99"/>
    <w:pPr>
      <w:snapToGrid w:val="0"/>
      <w:jc w:val="center"/>
    </w:pPr>
  </w:style>
  <w:style w:type="paragraph" w:customStyle="1" w:styleId="98">
    <w:name w:val="_Style 3"/>
    <w:basedOn w:val="1"/>
    <w:autoRedefine/>
    <w:qFormat/>
    <w:uiPriority w:val="34"/>
    <w:pPr>
      <w:adjustRightInd w:val="0"/>
      <w:snapToGrid w:val="0"/>
      <w:jc w:val="center"/>
    </w:pPr>
  </w:style>
  <w:style w:type="paragraph" w:customStyle="1" w:styleId="99">
    <w:name w:val="无间隔1"/>
    <w:autoRedefine/>
    <w:qFormat/>
    <w:uiPriority w:val="1"/>
    <w:rPr>
      <w:rFonts w:ascii="Times New Roman" w:hAnsi="Times New Roman" w:eastAsia="Times New Roman" w:cs="Times New Roman"/>
      <w:sz w:val="22"/>
      <w:szCs w:val="22"/>
      <w:lang w:val="en-US" w:eastAsia="zh-CN" w:bidi="ar-SA"/>
    </w:rPr>
  </w:style>
  <w:style w:type="paragraph" w:customStyle="1" w:styleId="10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101">
    <w:name w:val="Char Char Char Char Char Char Char Char Char Char Char Char Char Char Char Char Char Char Char Char Char"/>
    <w:basedOn w:val="1"/>
    <w:autoRedefine/>
    <w:qFormat/>
    <w:uiPriority w:val="0"/>
  </w:style>
  <w:style w:type="paragraph" w:customStyle="1" w:styleId="102">
    <w:name w:val="表头样"/>
    <w:basedOn w:val="1"/>
    <w:autoRedefine/>
    <w:qFormat/>
    <w:uiPriority w:val="0"/>
    <w:pPr>
      <w:spacing w:beforeLines="50"/>
      <w:jc w:val="center"/>
    </w:pPr>
    <w:rPr>
      <w:b/>
    </w:rPr>
  </w:style>
  <w:style w:type="paragraph" w:customStyle="1" w:styleId="103">
    <w:name w:val="表格文本"/>
    <w:basedOn w:val="1"/>
    <w:autoRedefine/>
    <w:qFormat/>
    <w:uiPriority w:val="0"/>
    <w:pPr>
      <w:adjustRightInd w:val="0"/>
      <w:snapToGrid w:val="0"/>
      <w:jc w:val="center"/>
    </w:pPr>
    <w:rPr>
      <w:szCs w:val="21"/>
    </w:rPr>
  </w:style>
  <w:style w:type="paragraph" w:customStyle="1" w:styleId="104">
    <w:name w:val="表格正文 Char"/>
    <w:basedOn w:val="1"/>
    <w:next w:val="1"/>
    <w:autoRedefine/>
    <w:semiHidden/>
    <w:qFormat/>
    <w:uiPriority w:val="0"/>
    <w:pPr>
      <w:snapToGrid w:val="0"/>
      <w:jc w:val="center"/>
    </w:pPr>
    <w:rPr>
      <w:rFonts w:ascii="宋体"/>
      <w:snapToGrid w:val="0"/>
      <w:spacing w:val="4"/>
      <w:w w:val="90"/>
      <w:sz w:val="24"/>
    </w:rPr>
  </w:style>
  <w:style w:type="paragraph" w:customStyle="1" w:styleId="105">
    <w:name w:val="罗-表格"/>
    <w:basedOn w:val="1"/>
    <w:autoRedefine/>
    <w:unhideWhenUsed/>
    <w:qFormat/>
    <w:uiPriority w:val="99"/>
    <w:pPr>
      <w:jc w:val="center"/>
    </w:pPr>
  </w:style>
  <w:style w:type="paragraph" w:customStyle="1" w:styleId="106">
    <w:name w:val="WPSOffice手动目录 1"/>
    <w:autoRedefine/>
    <w:qFormat/>
    <w:uiPriority w:val="0"/>
    <w:rPr>
      <w:rFonts w:ascii="Times New Roman" w:hAnsi="Times New Roman" w:eastAsia="宋体" w:cs="Times New Roman"/>
      <w:lang w:val="en-US" w:eastAsia="zh-CN" w:bidi="ar-SA"/>
    </w:rPr>
  </w:style>
  <w:style w:type="paragraph" w:customStyle="1" w:styleId="107">
    <w:name w:val="正文20110920"/>
    <w:basedOn w:val="91"/>
    <w:autoRedefine/>
    <w:qFormat/>
    <w:uiPriority w:val="99"/>
    <w:pPr>
      <w:ind w:firstLine="480"/>
    </w:pPr>
  </w:style>
  <w:style w:type="paragraph" w:customStyle="1" w:styleId="108">
    <w:name w:val="D图表"/>
    <w:basedOn w:val="1"/>
    <w:autoRedefine/>
    <w:qFormat/>
    <w:uiPriority w:val="0"/>
    <w:pPr>
      <w:spacing w:before="120" w:after="120"/>
      <w:jc w:val="center"/>
    </w:pPr>
    <w:rPr>
      <w:b/>
      <w:szCs w:val="21"/>
    </w:rPr>
  </w:style>
  <w:style w:type="paragraph" w:customStyle="1" w:styleId="109">
    <w:name w:val="+"/>
    <w:basedOn w:val="1"/>
    <w:autoRedefine/>
    <w:qFormat/>
    <w:uiPriority w:val="0"/>
    <w:pPr>
      <w:adjustRightInd w:val="0"/>
      <w:snapToGrid w:val="0"/>
      <w:spacing w:line="360" w:lineRule="auto"/>
      <w:ind w:firstLine="420" w:firstLineChars="200"/>
      <w:jc w:val="left"/>
    </w:pPr>
    <w:rPr>
      <w:kern w:val="0"/>
      <w:sz w:val="24"/>
    </w:rPr>
  </w:style>
  <w:style w:type="paragraph" w:customStyle="1" w:styleId="110">
    <w:name w:val="正文1"/>
    <w:basedOn w:val="1"/>
    <w:autoRedefine/>
    <w:qFormat/>
    <w:uiPriority w:val="0"/>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360" w:lineRule="auto"/>
      <w:ind w:firstLine="420" w:firstLineChars="200"/>
      <w:jc w:val="left"/>
    </w:pPr>
    <w:rPr>
      <w:kern w:val="0"/>
      <w:sz w:val="24"/>
    </w:rPr>
  </w:style>
  <w:style w:type="paragraph" w:customStyle="1" w:styleId="111">
    <w:name w:val="正文（小四）"/>
    <w:basedOn w:val="1"/>
    <w:autoRedefine/>
    <w:qFormat/>
    <w:uiPriority w:val="0"/>
    <w:pPr>
      <w:widowControl/>
      <w:spacing w:line="360" w:lineRule="auto"/>
      <w:ind w:firstLine="200" w:firstLineChars="200"/>
    </w:pPr>
    <w:rPr>
      <w:sz w:val="24"/>
    </w:rPr>
  </w:style>
  <w:style w:type="paragraph" w:customStyle="1" w:styleId="112">
    <w:name w:val="正文 首行缩进:  2 字符"/>
    <w:basedOn w:val="1"/>
    <w:autoRedefine/>
    <w:qFormat/>
    <w:uiPriority w:val="99"/>
    <w:pPr>
      <w:ind w:firstLine="579" w:firstLineChars="200"/>
    </w:pPr>
    <w:rPr>
      <w:rFonts w:cs="宋体"/>
    </w:rPr>
  </w:style>
  <w:style w:type="paragraph" w:customStyle="1" w:styleId="113">
    <w:name w:val="正文2"/>
    <w:basedOn w:val="1"/>
    <w:autoRedefine/>
    <w:qFormat/>
    <w:uiPriority w:val="0"/>
    <w:pPr>
      <w:adjustRightInd w:val="0"/>
      <w:spacing w:line="360" w:lineRule="auto"/>
      <w:ind w:firstLine="480" w:firstLineChars="200"/>
      <w:textAlignment w:val="baseline"/>
    </w:pPr>
    <w:rPr>
      <w:rFonts w:ascii="宋体" w:hAnsi="宋体" w:cs="宋体"/>
      <w:kern w:val="21"/>
      <w:sz w:val="24"/>
    </w:rPr>
  </w:style>
  <w:style w:type="paragraph" w:customStyle="1" w:styleId="114">
    <w:name w:val="文本"/>
    <w:basedOn w:val="1"/>
    <w:autoRedefine/>
    <w:qFormat/>
    <w:uiPriority w:val="0"/>
    <w:pPr>
      <w:spacing w:line="360" w:lineRule="auto"/>
      <w:ind w:firstLine="480" w:firstLineChars="200"/>
    </w:pPr>
    <w:rPr>
      <w:sz w:val="24"/>
    </w:rPr>
  </w:style>
  <w:style w:type="paragraph" w:customStyle="1" w:styleId="115">
    <w:name w:val="正文样式"/>
    <w:basedOn w:val="1"/>
    <w:autoRedefine/>
    <w:qFormat/>
    <w:uiPriority w:val="0"/>
    <w:pPr>
      <w:spacing w:line="360" w:lineRule="auto"/>
      <w:ind w:firstLine="480" w:firstLineChars="200"/>
    </w:pPr>
    <w:rPr>
      <w:sz w:val="24"/>
    </w:rPr>
  </w:style>
  <w:style w:type="paragraph" w:customStyle="1" w:styleId="116">
    <w:name w:val="表格样式"/>
    <w:basedOn w:val="1"/>
    <w:autoRedefine/>
    <w:qFormat/>
    <w:uiPriority w:val="0"/>
    <w:pPr>
      <w:jc w:val="center"/>
    </w:pPr>
    <w:rPr>
      <w:szCs w:val="21"/>
    </w:rPr>
  </w:style>
  <w:style w:type="paragraph" w:customStyle="1" w:styleId="117">
    <w:name w:val="环书三"/>
    <w:basedOn w:val="4"/>
    <w:autoRedefine/>
    <w:qFormat/>
    <w:uiPriority w:val="0"/>
    <w:pPr>
      <w:keepNext w:val="0"/>
      <w:keepLines w:val="0"/>
      <w:tabs>
        <w:tab w:val="left" w:pos="420"/>
      </w:tabs>
      <w:spacing w:after="78" w:afterLines="25"/>
    </w:pPr>
  </w:style>
  <w:style w:type="paragraph" w:customStyle="1" w:styleId="118">
    <w:name w:val="表格内容"/>
    <w:basedOn w:val="1"/>
    <w:next w:val="1"/>
    <w:autoRedefine/>
    <w:qFormat/>
    <w:uiPriority w:val="0"/>
    <w:pPr>
      <w:adjustRightInd w:val="0"/>
      <w:jc w:val="left"/>
      <w:textAlignment w:val="baseline"/>
    </w:pPr>
    <w:rPr>
      <w:rFonts w:ascii="宋体" w:hAnsi="宋体"/>
      <w:snapToGrid w:val="0"/>
      <w:color w:val="000000"/>
      <w:kern w:val="0"/>
      <w:szCs w:val="21"/>
    </w:rPr>
  </w:style>
  <w:style w:type="paragraph" w:customStyle="1" w:styleId="119">
    <w:name w:val="05F凡式正文"/>
    <w:basedOn w:val="1"/>
    <w:autoRedefine/>
    <w:qFormat/>
    <w:uiPriority w:val="0"/>
    <w:pPr>
      <w:spacing w:line="360" w:lineRule="auto"/>
      <w:ind w:firstLine="720" w:firstLineChars="200"/>
    </w:pPr>
    <w:rPr>
      <w:kern w:val="0"/>
      <w:sz w:val="24"/>
      <w:szCs w:val="20"/>
    </w:rPr>
  </w:style>
  <w:style w:type="paragraph" w:customStyle="1" w:styleId="120">
    <w:name w:val="正文01"/>
    <w:basedOn w:val="1"/>
    <w:autoRedefine/>
    <w:qFormat/>
    <w:uiPriority w:val="0"/>
    <w:pPr>
      <w:adjustRightInd w:val="0"/>
      <w:snapToGrid w:val="0"/>
      <w:spacing w:line="360" w:lineRule="auto"/>
      <w:ind w:firstLine="200" w:firstLineChars="200"/>
    </w:pPr>
    <w:rPr>
      <w:sz w:val="24"/>
    </w:rPr>
  </w:style>
  <w:style w:type="table" w:customStyle="1" w:styleId="121">
    <w:name w:val="A表格样式"/>
    <w:basedOn w:val="28"/>
    <w:autoRedefine/>
    <w:qFormat/>
    <w:uiPriority w:val="0"/>
    <w:pPr>
      <w:widowControl w:val="0"/>
      <w:jc w:val="center"/>
    </w:pPr>
    <w:tblPr>
      <w:tblBorders>
        <w:top w:val="single" w:color="000000" w:sz="12" w:space="0"/>
        <w:bottom w:val="single" w:color="000000" w:sz="12" w:space="0"/>
        <w:insideH w:val="single" w:color="auto" w:sz="4" w:space="0"/>
        <w:insideV w:val="single" w:color="auto" w:sz="4" w:space="0"/>
      </w:tblBorders>
      <w:tblCellMar>
        <w:top w:w="0" w:type="dxa"/>
        <w:left w:w="0" w:type="dxa"/>
        <w:bottom w:w="0" w:type="dxa"/>
        <w:right w:w="0" w:type="dxa"/>
      </w:tblCellMar>
    </w:tblPr>
    <w:tcPr>
      <w:vAlign w:val="center"/>
    </w:tcPr>
    <w:tblStylePr w:type="firstRow">
      <w:rPr>
        <w:b/>
      </w:rPr>
    </w:tblStylePr>
  </w:style>
  <w:style w:type="character" w:customStyle="1" w:styleId="122">
    <w:name w:val="font61"/>
    <w:basedOn w:val="30"/>
    <w:autoRedefine/>
    <w:qFormat/>
    <w:uiPriority w:val="0"/>
    <w:rPr>
      <w:rFonts w:hint="default" w:ascii="Times New Roman" w:hAnsi="Times New Roman" w:cs="Times New Roman"/>
      <w:color w:val="000000"/>
      <w:sz w:val="21"/>
      <w:szCs w:val="21"/>
      <w:u w:val="none"/>
      <w:vertAlign w:val="superscript"/>
    </w:rPr>
  </w:style>
  <w:style w:type="paragraph" w:customStyle="1" w:styleId="123">
    <w:name w:val="YT表内"/>
    <w:basedOn w:val="42"/>
    <w:link w:val="145"/>
    <w:autoRedefine/>
    <w:qFormat/>
    <w:uiPriority w:val="0"/>
    <w:pPr>
      <w:spacing w:line="240" w:lineRule="atLeast"/>
      <w:ind w:firstLine="0" w:firstLineChars="0"/>
      <w:jc w:val="center"/>
    </w:pPr>
    <w:rPr>
      <w:sz w:val="21"/>
      <w:szCs w:val="21"/>
    </w:rPr>
  </w:style>
  <w:style w:type="paragraph" w:customStyle="1" w:styleId="124">
    <w:name w:val="环评表格"/>
    <w:basedOn w:val="1"/>
    <w:autoRedefine/>
    <w:qFormat/>
    <w:uiPriority w:val="0"/>
    <w:pPr>
      <w:adjustRightInd w:val="0"/>
      <w:snapToGrid w:val="0"/>
      <w:jc w:val="center"/>
    </w:pPr>
    <w:rPr>
      <w:szCs w:val="21"/>
    </w:rPr>
  </w:style>
  <w:style w:type="paragraph" w:customStyle="1" w:styleId="125">
    <w:name w:val="表格正文"/>
    <w:basedOn w:val="61"/>
    <w:next w:val="1"/>
    <w:autoRedefine/>
    <w:qFormat/>
    <w:uiPriority w:val="0"/>
    <w:pPr>
      <w:jc w:val="center"/>
    </w:pPr>
    <w:rPr>
      <w:szCs w:val="21"/>
    </w:rPr>
  </w:style>
  <w:style w:type="paragraph" w:customStyle="1" w:styleId="126">
    <w:name w:val="lgg表格内文字"/>
    <w:basedOn w:val="1"/>
    <w:autoRedefine/>
    <w:qFormat/>
    <w:uiPriority w:val="0"/>
    <w:pPr>
      <w:keepNext/>
      <w:keepLines/>
      <w:snapToGrid w:val="0"/>
      <w:jc w:val="center"/>
    </w:pPr>
    <w:rPr>
      <w:bCs/>
      <w:szCs w:val="32"/>
    </w:rPr>
  </w:style>
  <w:style w:type="paragraph" w:customStyle="1" w:styleId="127">
    <w:name w:val="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8">
    <w:name w:val="A表内"/>
    <w:basedOn w:val="1"/>
    <w:autoRedefine/>
    <w:qFormat/>
    <w:uiPriority w:val="0"/>
    <w:pPr>
      <w:spacing w:line="0" w:lineRule="atLeast"/>
      <w:jc w:val="center"/>
    </w:pPr>
    <w:rPr>
      <w:rFonts w:cs="宋体"/>
      <w:szCs w:val="20"/>
    </w:rPr>
  </w:style>
  <w:style w:type="table" w:customStyle="1" w:styleId="129">
    <w:name w:val="Table Normal"/>
    <w:autoRedefine/>
    <w:semiHidden/>
    <w:unhideWhenUsed/>
    <w:qFormat/>
    <w:uiPriority w:val="0"/>
    <w:tblPr>
      <w:tblCellMar>
        <w:top w:w="0" w:type="dxa"/>
        <w:left w:w="0" w:type="dxa"/>
        <w:bottom w:w="0" w:type="dxa"/>
        <w:right w:w="0" w:type="dxa"/>
      </w:tblCellMar>
    </w:tblPr>
  </w:style>
  <w:style w:type="paragraph" w:customStyle="1" w:styleId="130">
    <w:name w:val="正本文字"/>
    <w:basedOn w:val="1"/>
    <w:autoRedefine/>
    <w:qFormat/>
    <w:uiPriority w:val="0"/>
    <w:pPr>
      <w:adjustRightInd w:val="0"/>
      <w:snapToGrid w:val="0"/>
      <w:spacing w:line="360" w:lineRule="auto"/>
      <w:ind w:firstLine="200" w:firstLineChars="200"/>
      <w:jc w:val="left"/>
    </w:pPr>
    <w:rPr>
      <w:rFonts w:cs="宋体"/>
      <w:kern w:val="18"/>
      <w:sz w:val="24"/>
    </w:rPr>
  </w:style>
  <w:style w:type="character" w:customStyle="1" w:styleId="131">
    <w:name w:val="font71"/>
    <w:basedOn w:val="30"/>
    <w:autoRedefine/>
    <w:qFormat/>
    <w:uiPriority w:val="0"/>
    <w:rPr>
      <w:rFonts w:hint="eastAsia" w:ascii="宋体" w:hAnsi="宋体" w:eastAsia="宋体" w:cs="宋体"/>
      <w:b/>
      <w:bCs/>
      <w:color w:val="000000"/>
      <w:sz w:val="21"/>
      <w:szCs w:val="21"/>
      <w:u w:val="none"/>
    </w:rPr>
  </w:style>
  <w:style w:type="character" w:customStyle="1" w:styleId="132">
    <w:name w:val="font12"/>
    <w:basedOn w:val="30"/>
    <w:autoRedefine/>
    <w:qFormat/>
    <w:uiPriority w:val="0"/>
    <w:rPr>
      <w:rFonts w:hint="default" w:ascii="Times New Roman" w:hAnsi="Times New Roman" w:cs="Times New Roman"/>
      <w:b/>
      <w:bCs/>
      <w:color w:val="000000"/>
      <w:sz w:val="21"/>
      <w:szCs w:val="21"/>
      <w:u w:val="none"/>
    </w:rPr>
  </w:style>
  <w:style w:type="character" w:customStyle="1" w:styleId="133">
    <w:name w:val="font101"/>
    <w:basedOn w:val="30"/>
    <w:autoRedefine/>
    <w:qFormat/>
    <w:uiPriority w:val="0"/>
    <w:rPr>
      <w:rFonts w:hint="default" w:ascii="Times New Roman" w:hAnsi="Times New Roman" w:cs="Times New Roman"/>
      <w:b/>
      <w:bCs/>
      <w:color w:val="000000"/>
      <w:sz w:val="21"/>
      <w:szCs w:val="21"/>
      <w:u w:val="none"/>
      <w:vertAlign w:val="subscript"/>
    </w:rPr>
  </w:style>
  <w:style w:type="paragraph" w:customStyle="1" w:styleId="134">
    <w:name w:val="表格1 里面的第一行"/>
    <w:basedOn w:val="1"/>
    <w:autoRedefine/>
    <w:qFormat/>
    <w:uiPriority w:val="0"/>
    <w:pPr>
      <w:jc w:val="center"/>
    </w:pPr>
    <w:rPr>
      <w:b/>
      <w:szCs w:val="21"/>
    </w:rPr>
  </w:style>
  <w:style w:type="paragraph" w:customStyle="1" w:styleId="135">
    <w:name w:val="1 表格 内容全部"/>
    <w:basedOn w:val="1"/>
    <w:next w:val="136"/>
    <w:autoRedefine/>
    <w:qFormat/>
    <w:uiPriority w:val="0"/>
    <w:pPr>
      <w:tabs>
        <w:tab w:val="left" w:pos="0"/>
      </w:tabs>
      <w:jc w:val="center"/>
    </w:pPr>
  </w:style>
  <w:style w:type="paragraph" w:customStyle="1" w:styleId="136">
    <w:name w:val="1 正文"/>
    <w:basedOn w:val="1"/>
    <w:autoRedefine/>
    <w:qFormat/>
    <w:uiPriority w:val="0"/>
    <w:rPr>
      <w:rFonts w:hint="eastAsia"/>
    </w:rPr>
  </w:style>
  <w:style w:type="paragraph" w:customStyle="1" w:styleId="137">
    <w:name w:val="表格中文字"/>
    <w:basedOn w:val="1"/>
    <w:autoRedefine/>
    <w:qFormat/>
    <w:uiPriority w:val="0"/>
    <w:pPr>
      <w:adjustRightInd w:val="0"/>
      <w:snapToGrid w:val="0"/>
      <w:jc w:val="center"/>
    </w:pPr>
    <w:rPr>
      <w:kern w:val="18"/>
      <w:szCs w:val="21"/>
    </w:rPr>
  </w:style>
  <w:style w:type="paragraph" w:customStyle="1" w:styleId="138">
    <w:name w:val="1正文段落"/>
    <w:basedOn w:val="1"/>
    <w:autoRedefine/>
    <w:qFormat/>
    <w:uiPriority w:val="0"/>
    <w:pPr>
      <w:spacing w:line="360" w:lineRule="auto"/>
      <w:ind w:firstLine="200" w:firstLineChars="200"/>
    </w:pPr>
    <w:rPr>
      <w:snapToGrid w:val="0"/>
      <w:kern w:val="0"/>
      <w:sz w:val="24"/>
      <w:szCs w:val="21"/>
    </w:rPr>
  </w:style>
  <w:style w:type="paragraph" w:customStyle="1" w:styleId="139">
    <w:name w:val="!正文"/>
    <w:basedOn w:val="1"/>
    <w:autoRedefine/>
    <w:qFormat/>
    <w:uiPriority w:val="0"/>
    <w:pPr>
      <w:adjustRightInd w:val="0"/>
      <w:snapToGrid w:val="0"/>
      <w:spacing w:line="360" w:lineRule="auto"/>
      <w:ind w:firstLine="480" w:firstLineChars="200"/>
    </w:pPr>
    <w:rPr>
      <w:sz w:val="24"/>
      <w:szCs w:val="21"/>
    </w:rPr>
  </w:style>
  <w:style w:type="paragraph" w:customStyle="1" w:styleId="140">
    <w:name w:val="D正文"/>
    <w:basedOn w:val="141"/>
    <w:autoRedefine/>
    <w:qFormat/>
    <w:uiPriority w:val="0"/>
    <w:pPr>
      <w:snapToGrid w:val="0"/>
      <w:spacing w:line="324" w:lineRule="auto"/>
    </w:pPr>
  </w:style>
  <w:style w:type="paragraph" w:customStyle="1" w:styleId="141">
    <w:name w:val="正文对的"/>
    <w:basedOn w:val="1"/>
    <w:autoRedefine/>
    <w:qFormat/>
    <w:uiPriority w:val="0"/>
    <w:pPr>
      <w:spacing w:line="400" w:lineRule="exact"/>
      <w:ind w:firstLine="200" w:firstLineChars="200"/>
    </w:pPr>
    <w:rPr>
      <w:sz w:val="24"/>
    </w:rPr>
  </w:style>
  <w:style w:type="paragraph" w:customStyle="1" w:styleId="142">
    <w:name w:val="nd正文"/>
    <w:basedOn w:val="17"/>
    <w:autoRedefine/>
    <w:qFormat/>
    <w:uiPriority w:val="0"/>
    <w:pPr>
      <w:adjustRightInd w:val="0"/>
      <w:snapToGrid w:val="0"/>
      <w:ind w:firstLine="200"/>
    </w:pPr>
    <w:rPr>
      <w:rFonts w:hAnsi="宋体"/>
    </w:rPr>
  </w:style>
  <w:style w:type="paragraph" w:customStyle="1" w:styleId="143">
    <w:name w:val="样式 正文文本文本正文正文文字 Char Char Char Char + 居中 首行缩进:  0 厘米 段前: 6 磅"/>
    <w:basedOn w:val="10"/>
    <w:autoRedefine/>
    <w:qFormat/>
    <w:uiPriority w:val="0"/>
    <w:pPr>
      <w:adjustRightInd w:val="0"/>
      <w:spacing w:before="120" w:after="0"/>
      <w:jc w:val="center"/>
      <w:textAlignment w:val="baseline"/>
    </w:pPr>
    <w:rPr>
      <w:rFonts w:ascii="宋体"/>
      <w:snapToGrid w:val="0"/>
      <w:w w:val="90"/>
      <w:sz w:val="24"/>
    </w:rPr>
  </w:style>
  <w:style w:type="paragraph" w:customStyle="1" w:styleId="144">
    <w:name w:val="222222222222222222222"/>
    <w:basedOn w:val="1"/>
    <w:autoRedefine/>
    <w:qFormat/>
    <w:uiPriority w:val="0"/>
    <w:pPr>
      <w:jc w:val="center"/>
    </w:pPr>
    <w:rPr>
      <w:szCs w:val="21"/>
    </w:rPr>
  </w:style>
  <w:style w:type="character" w:customStyle="1" w:styleId="145">
    <w:name w:val="YT表内 Char"/>
    <w:link w:val="123"/>
    <w:autoRedefine/>
    <w:qFormat/>
    <w:uiPriority w:val="0"/>
    <w:rPr>
      <w:rFonts w:ascii="Times New Roman" w:hAnsi="Times New Roman"/>
      <w:sz w:val="21"/>
      <w:szCs w:val="21"/>
    </w:rPr>
  </w:style>
  <w:style w:type="paragraph" w:customStyle="1" w:styleId="146">
    <w:name w:val="表1"/>
    <w:next w:val="1"/>
    <w:autoRedefine/>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147">
    <w:name w:val="font31"/>
    <w:basedOn w:val="30"/>
    <w:autoRedefine/>
    <w:qFormat/>
    <w:uiPriority w:val="0"/>
    <w:rPr>
      <w:rFonts w:hint="default" w:ascii="Times New Roman" w:hAnsi="Times New Roman" w:cs="Times New Roman"/>
      <w:color w:val="000000"/>
      <w:sz w:val="21"/>
      <w:szCs w:val="21"/>
      <w:u w:val="none"/>
    </w:rPr>
  </w:style>
  <w:style w:type="character" w:customStyle="1" w:styleId="148">
    <w:name w:val="font41"/>
    <w:basedOn w:val="30"/>
    <w:autoRedefine/>
    <w:qFormat/>
    <w:uiPriority w:val="0"/>
    <w:rPr>
      <w:rFonts w:hint="default" w:ascii="Times New Roman" w:hAnsi="Times New Roman" w:cs="Times New Roman"/>
      <w:color w:val="000000"/>
      <w:sz w:val="21"/>
      <w:szCs w:val="21"/>
      <w:u w:val="none"/>
      <w:vertAlign w:val="subscript"/>
    </w:rPr>
  </w:style>
  <w:style w:type="character" w:customStyle="1" w:styleId="149">
    <w:name w:val="font11"/>
    <w:basedOn w:val="30"/>
    <w:autoRedefine/>
    <w:qFormat/>
    <w:uiPriority w:val="0"/>
    <w:rPr>
      <w:rFonts w:hint="eastAsia" w:ascii="宋体" w:hAnsi="宋体" w:eastAsia="宋体" w:cs="宋体"/>
      <w:color w:val="000000"/>
      <w:sz w:val="21"/>
      <w:szCs w:val="21"/>
      <w:u w:val="none"/>
    </w:rPr>
  </w:style>
  <w:style w:type="paragraph" w:customStyle="1" w:styleId="150">
    <w:name w:val="正文望城"/>
    <w:basedOn w:val="151"/>
    <w:autoRedefine/>
    <w:qFormat/>
    <w:uiPriority w:val="0"/>
    <w:rPr>
      <w:rFonts w:ascii="华文细黑" w:hAnsi="华文细黑"/>
    </w:rPr>
  </w:style>
  <w:style w:type="paragraph" w:customStyle="1" w:styleId="151">
    <w:name w:val="正文细黑"/>
    <w:basedOn w:val="1"/>
    <w:autoRedefine/>
    <w:qFormat/>
    <w:uiPriority w:val="0"/>
    <w:pPr>
      <w:spacing w:line="300" w:lineRule="auto"/>
      <w:ind w:firstLine="482"/>
    </w:pPr>
    <w:rPr>
      <w:rFonts w:eastAsia="华文细黑"/>
      <w:szCs w:val="21"/>
    </w:rPr>
  </w:style>
  <w:style w:type="paragraph" w:customStyle="1" w:styleId="152">
    <w:name w:val="QQ表格"/>
    <w:next w:val="26"/>
    <w:qFormat/>
    <w:uiPriority w:val="0"/>
    <w:pPr>
      <w:jc w:val="center"/>
    </w:pPr>
    <w:rPr>
      <w:rFonts w:ascii="Times New Roman" w:hAnsi="Times New Roman" w:eastAsia="宋体" w:cs="Times New Roman"/>
      <w:sz w:val="21"/>
      <w:szCs w:val="24"/>
      <w:lang w:val="en-US" w:eastAsia="zh-CN" w:bidi="ar-SA"/>
    </w:rPr>
  </w:style>
  <w:style w:type="paragraph" w:customStyle="1" w:styleId="153">
    <w:name w:val="Table Text"/>
    <w:basedOn w:val="1"/>
    <w:semiHidden/>
    <w:qFormat/>
    <w:uiPriority w:val="0"/>
    <w:rPr>
      <w:rFonts w:ascii="仿宋_GB2312" w:hAnsi="仿宋_GB2312" w:eastAsia="仿宋_GB2312" w:cs="仿宋_GB2312"/>
      <w:sz w:val="28"/>
      <w:szCs w:val="28"/>
      <w:lang w:eastAsia="en-US"/>
    </w:rPr>
  </w:style>
  <w:style w:type="paragraph" w:styleId="154">
    <w:name w:val="List Paragraph"/>
    <w:basedOn w:val="1"/>
    <w:qFormat/>
    <w:uiPriority w:val="99"/>
    <w:pPr>
      <w:ind w:firstLine="420" w:firstLineChars="200"/>
    </w:pPr>
  </w:style>
  <w:style w:type="paragraph" w:customStyle="1" w:styleId="155">
    <w:name w:val="TT标题"/>
    <w:basedOn w:val="1"/>
    <w:qFormat/>
    <w:uiPriority w:val="0"/>
    <w:pPr>
      <w:widowControl/>
      <w:jc w:val="center"/>
    </w:pPr>
    <w:rPr>
      <w:rFonts w:cs="宋体"/>
      <w:b/>
    </w:rPr>
  </w:style>
  <w:style w:type="paragraph" w:customStyle="1" w:styleId="156">
    <w:name w:val="TT正文"/>
    <w:basedOn w:val="1"/>
    <w:qFormat/>
    <w:uiPriority w:val="0"/>
    <w:pPr>
      <w:widowControl/>
      <w:spacing w:line="360" w:lineRule="auto"/>
      <w:jc w:val="left"/>
    </w:pPr>
    <w:rPr>
      <w:rFonts w:cs="宋体"/>
      <w:color w:val="000000"/>
    </w:rPr>
  </w:style>
  <w:style w:type="paragraph" w:customStyle="1" w:styleId="157">
    <w:name w:val="图表"/>
    <w:basedOn w:val="1"/>
    <w:next w:val="1"/>
    <w:qFormat/>
    <w:uiPriority w:val="0"/>
    <w:pPr>
      <w:jc w:val="center"/>
    </w:pPr>
    <w:rPr>
      <w:spacing w:val="6"/>
      <w:szCs w:val="21"/>
    </w:rPr>
  </w:style>
  <w:style w:type="paragraph" w:customStyle="1" w:styleId="158">
    <w:name w:val="正文111111111"/>
    <w:basedOn w:val="1"/>
    <w:qFormat/>
    <w:uiPriority w:val="0"/>
    <w:pPr>
      <w:tabs>
        <w:tab w:val="left" w:pos="480"/>
      </w:tabs>
      <w:spacing w:line="360" w:lineRule="auto"/>
    </w:pPr>
    <w:rPr>
      <w:rFonts w:cs="宋体"/>
      <w:szCs w:val="20"/>
    </w:rPr>
  </w:style>
  <w:style w:type="paragraph" w:customStyle="1" w:styleId="159">
    <w:name w:val="表外标题"/>
    <w:basedOn w:val="1"/>
    <w:qFormat/>
    <w:uiPriority w:val="0"/>
    <w:pPr>
      <w:widowControl/>
      <w:jc w:val="left"/>
    </w:pPr>
    <w:rPr>
      <w:rFonts w:ascii="黑体" w:hAnsi="Calibri"/>
      <w:b/>
      <w:spacing w:val="4"/>
      <w:sz w:val="32"/>
    </w:rPr>
  </w:style>
  <w:style w:type="character" w:customStyle="1" w:styleId="160">
    <w:name w:val="font21"/>
    <w:basedOn w:val="30"/>
    <w:qFormat/>
    <w:uiPriority w:val="0"/>
    <w:rPr>
      <w:rFonts w:hint="eastAsia" w:ascii="宋体" w:hAnsi="宋体" w:eastAsia="宋体" w:cs="宋体"/>
      <w:color w:val="000000"/>
      <w:sz w:val="21"/>
      <w:szCs w:val="21"/>
      <w:u w:val="none"/>
    </w:rPr>
  </w:style>
  <w:style w:type="character" w:customStyle="1" w:styleId="161">
    <w:name w:val="CH正文 Char"/>
    <w:link w:val="64"/>
    <w:qFormat/>
    <w:uiPriority w:val="0"/>
    <w:rPr>
      <w:rFonts w:ascii="Times New Roman" w:hAnsi="Times New Roman" w:eastAsia="宋体" w:cs="Times New Roman"/>
      <w:sz w:val="24"/>
    </w:rPr>
  </w:style>
  <w:style w:type="paragraph" w:customStyle="1" w:styleId="162">
    <w:name w:val="表头99"/>
    <w:basedOn w:val="1"/>
    <w:autoRedefine/>
    <w:qFormat/>
    <w:uiPriority w:val="0"/>
    <w:pPr>
      <w:ind w:firstLine="422" w:firstLineChars="200"/>
      <w:jc w:val="center"/>
    </w:pPr>
    <w:rPr>
      <w:rFonts w:asciiTheme="minorHAnsi" w:hAnsiTheme="minorHAnsi" w:eastAsiaTheme="minorEastAsia" w:cstheme="minorBidi"/>
      <w:b/>
      <w:szCs w:val="21"/>
    </w:rPr>
  </w:style>
  <w:style w:type="paragraph" w:customStyle="1" w:styleId="163">
    <w:name w:val="图表标题"/>
    <w:basedOn w:val="1"/>
    <w:next w:val="157"/>
    <w:autoRedefine/>
    <w:qFormat/>
    <w:uiPriority w:val="0"/>
    <w:pPr>
      <w:keepNext/>
      <w:keepLines/>
      <w:jc w:val="center"/>
    </w:pPr>
    <w:rPr>
      <w:rFonts w:hint="eastAsia"/>
      <w:b/>
    </w:rPr>
  </w:style>
  <w:style w:type="paragraph" w:customStyle="1" w:styleId="164">
    <w:name w:val="表题行"/>
    <w:basedOn w:val="163"/>
    <w:autoRedefine/>
    <w:qFormat/>
    <w:uiPriority w:val="0"/>
    <w:pPr>
      <w:keepNext w:val="0"/>
      <w:keepLines w:val="0"/>
    </w:pPr>
    <w:rPr>
      <w:rFonts w:hint="default"/>
      <w:spacing w:val="6"/>
    </w:rPr>
  </w:style>
  <w:style w:type="paragraph" w:customStyle="1" w:styleId="165">
    <w:name w:val="图表正文"/>
    <w:basedOn w:val="1"/>
    <w:qFormat/>
    <w:uiPriority w:val="0"/>
    <w:pPr>
      <w:jc w:val="center"/>
    </w:pPr>
  </w:style>
  <w:style w:type="paragraph" w:customStyle="1" w:styleId="166">
    <w:name w:val="CXY 备注"/>
    <w:basedOn w:val="1"/>
    <w:link w:val="169"/>
    <w:qFormat/>
    <w:uiPriority w:val="0"/>
    <w:pPr>
      <w:tabs>
        <w:tab w:val="left" w:pos="0"/>
      </w:tabs>
      <w:spacing w:after="50" w:afterLines="50"/>
      <w:jc w:val="left"/>
    </w:pPr>
    <w:rPr>
      <w:b/>
      <w:bCs/>
      <w:szCs w:val="21"/>
    </w:rPr>
  </w:style>
  <w:style w:type="paragraph" w:customStyle="1" w:styleId="167">
    <w:name w:val="金正文"/>
    <w:basedOn w:val="1"/>
    <w:qFormat/>
    <w:uiPriority w:val="0"/>
    <w:pPr>
      <w:spacing w:line="360" w:lineRule="auto"/>
      <w:ind w:firstLine="1040" w:firstLineChars="200"/>
      <w:jc w:val="left"/>
    </w:pPr>
    <w:rPr>
      <w:kern w:val="0"/>
      <w:sz w:val="24"/>
    </w:rPr>
  </w:style>
  <w:style w:type="paragraph" w:customStyle="1" w:styleId="168">
    <w:name w:val="样式 题注 + 居中"/>
    <w:basedOn w:val="8"/>
    <w:next w:val="1"/>
    <w:qFormat/>
    <w:uiPriority w:val="0"/>
    <w:pPr>
      <w:tabs>
        <w:tab w:val="left" w:pos="0"/>
      </w:tabs>
      <w:spacing w:after="120"/>
    </w:pPr>
    <w:rPr>
      <w:rFonts w:cs="宋体"/>
    </w:rPr>
  </w:style>
  <w:style w:type="character" w:customStyle="1" w:styleId="169">
    <w:name w:val="CXY 备注 Char"/>
    <w:link w:val="166"/>
    <w:qFormat/>
    <w:uiPriority w:val="0"/>
    <w:rPr>
      <w:b/>
      <w:bCs/>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microsoft.com/office/2006/relationships/keyMapCustomizations" Target="customizations.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png"/><Relationship Id="rId22" Type="http://schemas.openxmlformats.org/officeDocument/2006/relationships/image" Target="media/image15.wmf"/><Relationship Id="rId21" Type="http://schemas.openxmlformats.org/officeDocument/2006/relationships/oleObject" Target="embeddings/oleObject1.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75</Pages>
  <Words>28356</Words>
  <Characters>30336</Characters>
  <Lines>849</Lines>
  <Paragraphs>239</Paragraphs>
  <TotalTime>2</TotalTime>
  <ScaleCrop>false</ScaleCrop>
  <LinksUpToDate>false</LinksUpToDate>
  <CharactersWithSpaces>30363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2022-03-31T07:53:00Z</dcterms:created>
  <dc:creator>lhj</dc:creator>
  <cp:lastModifiedBy>释怀。</cp:lastModifiedBy>
  <cp:lastPrinted>2023-06-02T08:38:00Z</cp:lastPrinted>
  <dcterms:modified xsi:type="dcterms:W3CDTF">2025-01-13T08:24:21Z</dcterms:modified>
  <dc:title>附件2</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BEBF55A49E474D72B9DE23D9261B74A9_13</vt:lpwstr>
  </property>
  <property fmtid="{D5CDD505-2E9C-101B-9397-08002B2CF9AE}" pid="4" name="commondata">
    <vt:lpwstr>eyJoZGlkIjoiNjlmNDlhYmNjOWYwNTZiNTI0ZWQxN2ZiMTMzMTA0NWIifQ==</vt:lpwstr>
  </property>
  <property fmtid="{D5CDD505-2E9C-101B-9397-08002B2CF9AE}" pid="5" name="KSOTemplateDocerSaveRecord">
    <vt:lpwstr>eyJoZGlkIjoiODYyNTgzODQ0ZTk3ODc2YjZiYzRlMTQ0NDYzODJkNDkiLCJ1c2VySWQiOiIzOTMyMzQwMTcifQ==</vt:lpwstr>
  </property>
</Properties>
</file>